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98B1" w14:textId="77777777" w:rsidR="00CB09A5" w:rsidRPr="00CA2890" w:rsidRDefault="00CB09A5" w:rsidP="00CB09A5">
      <w:pPr>
        <w:rPr>
          <w:rFonts w:asciiTheme="minorHAnsi" w:hAnsiTheme="minorHAnsi"/>
          <w:b/>
          <w:szCs w:val="24"/>
          <w:u w:val="single"/>
        </w:rPr>
      </w:pPr>
      <w:r w:rsidRPr="00CA2890">
        <w:rPr>
          <w:rFonts w:asciiTheme="minorHAnsi" w:hAnsiTheme="minorHAnsi"/>
          <w:b/>
          <w:szCs w:val="24"/>
          <w:u w:val="single"/>
        </w:rPr>
        <w:t>APPROVALS</w:t>
      </w:r>
    </w:p>
    <w:p w14:paraId="0A7765CB" w14:textId="77777777" w:rsidR="00CB09A5" w:rsidRPr="00CA2890" w:rsidRDefault="00CB09A5" w:rsidP="00CB09A5">
      <w:pPr>
        <w:rPr>
          <w:rFonts w:asciiTheme="minorHAnsi" w:hAnsiTheme="minorHAnsi"/>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68"/>
        <w:gridCol w:w="3828"/>
        <w:gridCol w:w="1275"/>
        <w:gridCol w:w="2268"/>
      </w:tblGrid>
      <w:tr w:rsidR="00CB09A5" w:rsidRPr="00CA2890" w14:paraId="2195FCF0" w14:textId="77777777" w:rsidTr="009E4284">
        <w:tc>
          <w:tcPr>
            <w:tcW w:w="2268" w:type="dxa"/>
            <w:vAlign w:val="center"/>
          </w:tcPr>
          <w:p w14:paraId="2188C5A9" w14:textId="77777777" w:rsidR="00CB09A5" w:rsidRPr="00CA2890" w:rsidRDefault="00CB09A5" w:rsidP="003B6C3E">
            <w:pPr>
              <w:rPr>
                <w:rFonts w:asciiTheme="minorHAnsi" w:hAnsiTheme="minorHAnsi"/>
                <w:szCs w:val="24"/>
              </w:rPr>
            </w:pPr>
            <w:r w:rsidRPr="00CA2890">
              <w:rPr>
                <w:rFonts w:asciiTheme="minorHAnsi" w:hAnsiTheme="minorHAnsi"/>
                <w:szCs w:val="24"/>
              </w:rPr>
              <w:t>Original Document</w:t>
            </w:r>
          </w:p>
          <w:p w14:paraId="1713ACFE" w14:textId="77777777" w:rsidR="00CB09A5" w:rsidRPr="00CA2890" w:rsidRDefault="00CB09A5" w:rsidP="003B6C3E">
            <w:pPr>
              <w:rPr>
                <w:rFonts w:asciiTheme="minorHAnsi" w:hAnsiTheme="minorHAnsi"/>
                <w:szCs w:val="24"/>
              </w:rPr>
            </w:pPr>
            <w:r w:rsidRPr="00CA2890">
              <w:rPr>
                <w:rFonts w:asciiTheme="minorHAnsi" w:hAnsiTheme="minorHAnsi"/>
                <w:szCs w:val="24"/>
              </w:rPr>
              <w:t>Author:</w:t>
            </w:r>
          </w:p>
        </w:tc>
        <w:tc>
          <w:tcPr>
            <w:tcW w:w="3828" w:type="dxa"/>
          </w:tcPr>
          <w:p w14:paraId="68E0573D" w14:textId="77777777" w:rsidR="00276AAB" w:rsidRPr="00CA2890" w:rsidRDefault="009E4284" w:rsidP="009E4284">
            <w:pPr>
              <w:rPr>
                <w:rFonts w:asciiTheme="minorHAnsi" w:hAnsiTheme="minorHAnsi"/>
                <w:szCs w:val="24"/>
                <w:u w:val="single"/>
              </w:rPr>
            </w:pPr>
            <w:r w:rsidRPr="00CA2890">
              <w:rPr>
                <w:rFonts w:asciiTheme="minorHAnsi" w:hAnsiTheme="minorHAnsi"/>
                <w:szCs w:val="24"/>
                <w:u w:val="single"/>
              </w:rPr>
              <w:t>Name</w:t>
            </w:r>
          </w:p>
          <w:p w14:paraId="77F4778E" w14:textId="77777777" w:rsidR="003B6C3E" w:rsidRPr="00CA2890" w:rsidRDefault="00CA2890" w:rsidP="009E4284">
            <w:pPr>
              <w:rPr>
                <w:rFonts w:asciiTheme="minorHAnsi" w:hAnsiTheme="minorHAnsi"/>
                <w:szCs w:val="24"/>
              </w:rPr>
            </w:pPr>
            <w:r w:rsidRPr="00CA2890">
              <w:rPr>
                <w:rFonts w:asciiTheme="minorHAnsi" w:hAnsiTheme="minorHAnsi"/>
                <w:szCs w:val="24"/>
              </w:rPr>
              <w:t>Dr Caroline Leech</w:t>
            </w:r>
          </w:p>
          <w:p w14:paraId="017FA1E2" w14:textId="7DBC562B" w:rsidR="00CA2890" w:rsidRPr="00CA2890" w:rsidRDefault="00CA2890" w:rsidP="009E4284">
            <w:pPr>
              <w:rPr>
                <w:rFonts w:asciiTheme="minorHAnsi" w:hAnsiTheme="minorHAnsi"/>
                <w:szCs w:val="24"/>
              </w:rPr>
            </w:pPr>
            <w:r w:rsidRPr="00CA2890">
              <w:rPr>
                <w:rFonts w:asciiTheme="minorHAnsi" w:hAnsiTheme="minorHAnsi"/>
                <w:szCs w:val="24"/>
              </w:rPr>
              <w:t>Dr Jake Turner</w:t>
            </w:r>
          </w:p>
        </w:tc>
        <w:tc>
          <w:tcPr>
            <w:tcW w:w="1275" w:type="dxa"/>
          </w:tcPr>
          <w:p w14:paraId="18720750" w14:textId="77777777" w:rsidR="00CB09A5" w:rsidRPr="00CA2890" w:rsidRDefault="003B6C3E" w:rsidP="009E4284">
            <w:pPr>
              <w:rPr>
                <w:rFonts w:asciiTheme="minorHAnsi" w:hAnsiTheme="minorHAnsi"/>
                <w:szCs w:val="24"/>
                <w:u w:val="single"/>
              </w:rPr>
            </w:pPr>
            <w:r w:rsidRPr="00CA2890">
              <w:rPr>
                <w:rFonts w:asciiTheme="minorHAnsi" w:hAnsiTheme="minorHAnsi"/>
                <w:szCs w:val="24"/>
                <w:u w:val="single"/>
              </w:rPr>
              <w:t>Dat</w:t>
            </w:r>
            <w:r w:rsidR="009E4284" w:rsidRPr="00CA2890">
              <w:rPr>
                <w:rFonts w:asciiTheme="minorHAnsi" w:hAnsiTheme="minorHAnsi"/>
                <w:szCs w:val="24"/>
                <w:u w:val="single"/>
              </w:rPr>
              <w:t>e</w:t>
            </w:r>
          </w:p>
          <w:p w14:paraId="698F41FB" w14:textId="30CD3787" w:rsidR="003B6C3E" w:rsidRPr="00CA2890" w:rsidRDefault="00CA2890" w:rsidP="009E4284">
            <w:pPr>
              <w:rPr>
                <w:rFonts w:asciiTheme="minorHAnsi" w:hAnsiTheme="minorHAnsi"/>
                <w:szCs w:val="24"/>
              </w:rPr>
            </w:pPr>
            <w:r>
              <w:rPr>
                <w:rFonts w:asciiTheme="minorHAnsi" w:hAnsiTheme="minorHAnsi"/>
                <w:szCs w:val="24"/>
              </w:rPr>
              <w:t>24/01/22</w:t>
            </w:r>
          </w:p>
        </w:tc>
        <w:tc>
          <w:tcPr>
            <w:tcW w:w="2268" w:type="dxa"/>
          </w:tcPr>
          <w:p w14:paraId="37E32F2F" w14:textId="77777777" w:rsidR="00CB09A5" w:rsidRPr="00CA2890" w:rsidRDefault="00CB09A5" w:rsidP="003B6C3E">
            <w:pPr>
              <w:rPr>
                <w:rFonts w:asciiTheme="minorHAnsi" w:hAnsiTheme="minorHAnsi"/>
                <w:szCs w:val="24"/>
                <w:u w:val="single"/>
              </w:rPr>
            </w:pPr>
            <w:r w:rsidRPr="00CA2890">
              <w:rPr>
                <w:rFonts w:asciiTheme="minorHAnsi" w:hAnsiTheme="minorHAnsi"/>
                <w:szCs w:val="24"/>
                <w:u w:val="single"/>
              </w:rPr>
              <w:t>Signature</w:t>
            </w:r>
          </w:p>
        </w:tc>
      </w:tr>
      <w:tr w:rsidR="00CB09A5" w:rsidRPr="00CA2890" w14:paraId="47E6A872" w14:textId="77777777" w:rsidTr="003B6C3E">
        <w:tc>
          <w:tcPr>
            <w:tcW w:w="2268" w:type="dxa"/>
            <w:vAlign w:val="center"/>
          </w:tcPr>
          <w:p w14:paraId="12153505" w14:textId="789B6D48" w:rsidR="00CB09A5" w:rsidRPr="00CA2890" w:rsidRDefault="00CB09A5" w:rsidP="003B6C3E">
            <w:pPr>
              <w:rPr>
                <w:rFonts w:asciiTheme="minorHAnsi" w:hAnsiTheme="minorHAnsi"/>
                <w:szCs w:val="24"/>
              </w:rPr>
            </w:pPr>
            <w:r w:rsidRPr="00CA2890">
              <w:rPr>
                <w:rFonts w:asciiTheme="minorHAnsi" w:hAnsiTheme="minorHAnsi"/>
                <w:szCs w:val="24"/>
              </w:rPr>
              <w:t>Revised Document</w:t>
            </w:r>
          </w:p>
          <w:p w14:paraId="529FAC46" w14:textId="77777777" w:rsidR="00CB09A5" w:rsidRPr="00CA2890" w:rsidRDefault="00CB09A5" w:rsidP="003B6C3E">
            <w:pPr>
              <w:rPr>
                <w:rFonts w:asciiTheme="minorHAnsi" w:hAnsiTheme="minorHAnsi"/>
                <w:szCs w:val="24"/>
              </w:rPr>
            </w:pPr>
            <w:r w:rsidRPr="00CA2890">
              <w:rPr>
                <w:rFonts w:asciiTheme="minorHAnsi" w:hAnsiTheme="minorHAnsi"/>
                <w:szCs w:val="24"/>
              </w:rPr>
              <w:t>Prepared by:</w:t>
            </w:r>
          </w:p>
        </w:tc>
        <w:tc>
          <w:tcPr>
            <w:tcW w:w="3828" w:type="dxa"/>
            <w:vAlign w:val="center"/>
          </w:tcPr>
          <w:p w14:paraId="52A0E0C1" w14:textId="2A9D51F2" w:rsidR="00010480" w:rsidRPr="00CA2890" w:rsidRDefault="00CA2890" w:rsidP="003B6C3E">
            <w:pPr>
              <w:rPr>
                <w:rFonts w:asciiTheme="minorHAnsi" w:hAnsiTheme="minorHAnsi"/>
                <w:szCs w:val="24"/>
              </w:rPr>
            </w:pPr>
            <w:r w:rsidRPr="00CA2890">
              <w:rPr>
                <w:rFonts w:asciiTheme="minorHAnsi" w:hAnsiTheme="minorHAnsi"/>
                <w:szCs w:val="24"/>
              </w:rPr>
              <w:t>n/a</w:t>
            </w:r>
          </w:p>
        </w:tc>
        <w:tc>
          <w:tcPr>
            <w:tcW w:w="1275" w:type="dxa"/>
            <w:vAlign w:val="center"/>
          </w:tcPr>
          <w:p w14:paraId="00DB3877" w14:textId="77777777" w:rsidR="00CB09A5" w:rsidRPr="00CA2890" w:rsidRDefault="00CB09A5" w:rsidP="003B6C3E">
            <w:pPr>
              <w:rPr>
                <w:rFonts w:asciiTheme="minorHAnsi" w:hAnsiTheme="minorHAnsi"/>
                <w:szCs w:val="24"/>
              </w:rPr>
            </w:pPr>
          </w:p>
        </w:tc>
        <w:tc>
          <w:tcPr>
            <w:tcW w:w="2268" w:type="dxa"/>
            <w:vAlign w:val="center"/>
          </w:tcPr>
          <w:p w14:paraId="7511D35E" w14:textId="77777777" w:rsidR="00CB09A5" w:rsidRPr="00CA2890" w:rsidRDefault="00CB09A5" w:rsidP="003B6C3E">
            <w:pPr>
              <w:jc w:val="center"/>
              <w:rPr>
                <w:rFonts w:asciiTheme="minorHAnsi" w:hAnsiTheme="minorHAnsi"/>
                <w:szCs w:val="24"/>
              </w:rPr>
            </w:pPr>
          </w:p>
        </w:tc>
      </w:tr>
      <w:tr w:rsidR="00CB09A5" w:rsidRPr="00CA2890" w14:paraId="0384DD21" w14:textId="77777777" w:rsidTr="002961D2">
        <w:trPr>
          <w:trHeight w:val="466"/>
        </w:trPr>
        <w:tc>
          <w:tcPr>
            <w:tcW w:w="2268" w:type="dxa"/>
            <w:vAlign w:val="center"/>
          </w:tcPr>
          <w:p w14:paraId="76D906FC" w14:textId="77777777" w:rsidR="00CB09A5" w:rsidRPr="00CA2890" w:rsidRDefault="00CB09A5" w:rsidP="003B6C3E">
            <w:pPr>
              <w:rPr>
                <w:rFonts w:asciiTheme="minorHAnsi" w:hAnsiTheme="minorHAnsi"/>
                <w:szCs w:val="24"/>
              </w:rPr>
            </w:pPr>
            <w:r w:rsidRPr="00CA2890">
              <w:rPr>
                <w:rFonts w:asciiTheme="minorHAnsi" w:hAnsiTheme="minorHAnsi"/>
                <w:szCs w:val="24"/>
              </w:rPr>
              <w:t>Reviewed by:</w:t>
            </w:r>
          </w:p>
        </w:tc>
        <w:tc>
          <w:tcPr>
            <w:tcW w:w="3828" w:type="dxa"/>
            <w:vAlign w:val="center"/>
          </w:tcPr>
          <w:p w14:paraId="7EEDEF20" w14:textId="5E095733" w:rsidR="00CA2890" w:rsidRPr="00CA2890" w:rsidRDefault="00572B78" w:rsidP="003B6C3E">
            <w:pPr>
              <w:rPr>
                <w:rFonts w:asciiTheme="minorHAnsi" w:hAnsiTheme="minorHAnsi"/>
                <w:szCs w:val="24"/>
              </w:rPr>
            </w:pPr>
            <w:r>
              <w:rPr>
                <w:rFonts w:asciiTheme="minorHAnsi" w:hAnsiTheme="minorHAnsi"/>
                <w:szCs w:val="24"/>
              </w:rPr>
              <w:t>Phil Bridle, Head of Operations</w:t>
            </w:r>
          </w:p>
        </w:tc>
        <w:tc>
          <w:tcPr>
            <w:tcW w:w="1275" w:type="dxa"/>
            <w:vAlign w:val="center"/>
          </w:tcPr>
          <w:p w14:paraId="08FB88F4" w14:textId="77777777" w:rsidR="00CB09A5" w:rsidRPr="00CA2890" w:rsidRDefault="00CB09A5" w:rsidP="003B6C3E">
            <w:pPr>
              <w:rPr>
                <w:rFonts w:asciiTheme="minorHAnsi" w:hAnsiTheme="minorHAnsi"/>
                <w:szCs w:val="24"/>
              </w:rPr>
            </w:pPr>
          </w:p>
        </w:tc>
        <w:tc>
          <w:tcPr>
            <w:tcW w:w="2268" w:type="dxa"/>
            <w:vAlign w:val="center"/>
          </w:tcPr>
          <w:p w14:paraId="34C1A287" w14:textId="77777777" w:rsidR="00CB09A5" w:rsidRPr="00CA2890" w:rsidRDefault="00CB09A5" w:rsidP="003B6C3E">
            <w:pPr>
              <w:jc w:val="center"/>
              <w:rPr>
                <w:rFonts w:asciiTheme="minorHAnsi" w:hAnsiTheme="minorHAnsi"/>
                <w:szCs w:val="24"/>
              </w:rPr>
            </w:pPr>
          </w:p>
        </w:tc>
      </w:tr>
      <w:tr w:rsidR="00CB09A5" w:rsidRPr="00CA2890" w14:paraId="471A17B6" w14:textId="77777777" w:rsidTr="003B6C3E">
        <w:tc>
          <w:tcPr>
            <w:tcW w:w="2268" w:type="dxa"/>
            <w:vAlign w:val="center"/>
          </w:tcPr>
          <w:p w14:paraId="1B23E46D" w14:textId="41578F4C" w:rsidR="00CB09A5" w:rsidRPr="00CA2890" w:rsidRDefault="00010480" w:rsidP="003B6C3E">
            <w:pPr>
              <w:rPr>
                <w:rFonts w:asciiTheme="minorHAnsi" w:hAnsiTheme="minorHAnsi"/>
                <w:szCs w:val="24"/>
              </w:rPr>
            </w:pPr>
            <w:r w:rsidRPr="00CA2890">
              <w:rPr>
                <w:rFonts w:asciiTheme="minorHAnsi" w:hAnsiTheme="minorHAnsi"/>
                <w:szCs w:val="24"/>
              </w:rPr>
              <w:t>Director</w:t>
            </w:r>
          </w:p>
          <w:p w14:paraId="4AFEEE3B" w14:textId="77777777" w:rsidR="00CB09A5" w:rsidRPr="00CA2890" w:rsidRDefault="00CB09A5" w:rsidP="003B6C3E">
            <w:pPr>
              <w:rPr>
                <w:rFonts w:asciiTheme="minorHAnsi" w:hAnsiTheme="minorHAnsi"/>
                <w:szCs w:val="24"/>
              </w:rPr>
            </w:pPr>
            <w:r w:rsidRPr="00CA2890">
              <w:rPr>
                <w:rFonts w:asciiTheme="minorHAnsi" w:hAnsiTheme="minorHAnsi"/>
                <w:szCs w:val="24"/>
              </w:rPr>
              <w:t>Approval:</w:t>
            </w:r>
          </w:p>
        </w:tc>
        <w:tc>
          <w:tcPr>
            <w:tcW w:w="3828" w:type="dxa"/>
            <w:vAlign w:val="center"/>
          </w:tcPr>
          <w:p w14:paraId="310635F6" w14:textId="1C7C62C6" w:rsidR="00CB09A5" w:rsidRPr="00CA2890" w:rsidRDefault="00572B78" w:rsidP="003B6C3E">
            <w:pPr>
              <w:rPr>
                <w:rFonts w:asciiTheme="minorHAnsi" w:hAnsiTheme="minorHAnsi"/>
                <w:szCs w:val="24"/>
              </w:rPr>
            </w:pPr>
            <w:r>
              <w:rPr>
                <w:rFonts w:asciiTheme="minorHAnsi" w:hAnsiTheme="minorHAnsi"/>
                <w:szCs w:val="24"/>
              </w:rPr>
              <w:t xml:space="preserve">Justin Squires, Deputy Clinical Lead </w:t>
            </w:r>
          </w:p>
        </w:tc>
        <w:tc>
          <w:tcPr>
            <w:tcW w:w="1275" w:type="dxa"/>
            <w:vAlign w:val="center"/>
          </w:tcPr>
          <w:p w14:paraId="5650E0C1" w14:textId="77777777" w:rsidR="00CB09A5" w:rsidRPr="00CA2890" w:rsidRDefault="00CB09A5" w:rsidP="003B6C3E">
            <w:pPr>
              <w:rPr>
                <w:rFonts w:asciiTheme="minorHAnsi" w:hAnsiTheme="minorHAnsi"/>
                <w:szCs w:val="24"/>
              </w:rPr>
            </w:pPr>
          </w:p>
        </w:tc>
        <w:tc>
          <w:tcPr>
            <w:tcW w:w="2268" w:type="dxa"/>
            <w:vAlign w:val="center"/>
          </w:tcPr>
          <w:p w14:paraId="77CB2367" w14:textId="77777777" w:rsidR="00CB09A5" w:rsidRPr="00CA2890" w:rsidRDefault="00CB09A5" w:rsidP="003B6C3E">
            <w:pPr>
              <w:jc w:val="center"/>
              <w:rPr>
                <w:rFonts w:asciiTheme="minorHAnsi" w:hAnsiTheme="minorHAnsi"/>
                <w:szCs w:val="24"/>
              </w:rPr>
            </w:pPr>
          </w:p>
        </w:tc>
      </w:tr>
      <w:tr w:rsidR="00CB09A5" w:rsidRPr="00CA2890" w14:paraId="16906514" w14:textId="77777777" w:rsidTr="003B6C3E">
        <w:trPr>
          <w:cantSplit/>
        </w:trPr>
        <w:tc>
          <w:tcPr>
            <w:tcW w:w="2268" w:type="dxa"/>
            <w:vAlign w:val="center"/>
          </w:tcPr>
          <w:p w14:paraId="4F0C6D2B" w14:textId="77777777" w:rsidR="00CB09A5" w:rsidRPr="00CA2890" w:rsidRDefault="00CB09A5" w:rsidP="003B6C3E">
            <w:pPr>
              <w:rPr>
                <w:rFonts w:asciiTheme="minorHAnsi" w:hAnsiTheme="minorHAnsi"/>
                <w:szCs w:val="24"/>
              </w:rPr>
            </w:pPr>
            <w:r w:rsidRPr="00CA2890">
              <w:rPr>
                <w:rFonts w:asciiTheme="minorHAnsi" w:hAnsiTheme="minorHAnsi"/>
                <w:szCs w:val="24"/>
              </w:rPr>
              <w:t>Next Review Date:</w:t>
            </w:r>
          </w:p>
        </w:tc>
        <w:tc>
          <w:tcPr>
            <w:tcW w:w="7371" w:type="dxa"/>
            <w:gridSpan w:val="3"/>
            <w:vAlign w:val="center"/>
          </w:tcPr>
          <w:p w14:paraId="2AC4F279" w14:textId="254E3A82" w:rsidR="00CB09A5" w:rsidRPr="00CA2890" w:rsidRDefault="00B77BFB" w:rsidP="003B6C3E">
            <w:pPr>
              <w:rPr>
                <w:rFonts w:asciiTheme="minorHAnsi" w:hAnsiTheme="minorHAnsi"/>
                <w:szCs w:val="24"/>
              </w:rPr>
            </w:pPr>
            <w:r>
              <w:rPr>
                <w:rFonts w:asciiTheme="minorHAnsi" w:hAnsiTheme="minorHAnsi"/>
                <w:szCs w:val="24"/>
              </w:rPr>
              <w:t>Feb 202</w:t>
            </w:r>
            <w:r w:rsidR="00D766E0">
              <w:rPr>
                <w:rFonts w:asciiTheme="minorHAnsi" w:hAnsiTheme="minorHAnsi"/>
                <w:szCs w:val="24"/>
              </w:rPr>
              <w:t>3</w:t>
            </w:r>
          </w:p>
          <w:p w14:paraId="6096DC5A" w14:textId="77777777" w:rsidR="00CB09A5" w:rsidRPr="00CA2890" w:rsidRDefault="00CB09A5" w:rsidP="003B6C3E">
            <w:pPr>
              <w:rPr>
                <w:rFonts w:asciiTheme="minorHAnsi" w:hAnsiTheme="minorHAnsi"/>
                <w:szCs w:val="24"/>
              </w:rPr>
            </w:pPr>
          </w:p>
        </w:tc>
      </w:tr>
    </w:tbl>
    <w:p w14:paraId="3C8277D3" w14:textId="77777777" w:rsidR="007E4F5A" w:rsidRPr="00CA2890" w:rsidRDefault="007E4F5A" w:rsidP="00CB09A5">
      <w:pPr>
        <w:pStyle w:val="Header"/>
        <w:tabs>
          <w:tab w:val="clear" w:pos="4153"/>
          <w:tab w:val="clear" w:pos="8306"/>
        </w:tabs>
        <w:rPr>
          <w:rFonts w:asciiTheme="minorHAnsi" w:hAnsiTheme="minorHAnsi"/>
          <w:b/>
          <w:szCs w:val="24"/>
          <w:u w:val="single"/>
        </w:rPr>
      </w:pPr>
    </w:p>
    <w:p w14:paraId="0166C87F" w14:textId="5B8DC42C" w:rsidR="002961D2" w:rsidRDefault="00CA2890" w:rsidP="00CA2890">
      <w:pPr>
        <w:rPr>
          <w:rFonts w:asciiTheme="minorHAnsi" w:hAnsiTheme="minorHAnsi"/>
          <w:b/>
          <w:szCs w:val="24"/>
          <w:u w:val="single"/>
        </w:rPr>
      </w:pPr>
      <w:r>
        <w:rPr>
          <w:rFonts w:asciiTheme="minorHAnsi" w:hAnsiTheme="minorHAnsi"/>
          <w:b/>
          <w:szCs w:val="24"/>
          <w:u w:val="single"/>
        </w:rPr>
        <w:t>Purpose</w:t>
      </w:r>
    </w:p>
    <w:p w14:paraId="5ECC3803" w14:textId="3467CF5E" w:rsidR="00CA2890" w:rsidRPr="00CA2890" w:rsidRDefault="00CA2890" w:rsidP="00CA2890">
      <w:pPr>
        <w:rPr>
          <w:rFonts w:asciiTheme="minorHAnsi" w:hAnsiTheme="minorHAnsi"/>
          <w:szCs w:val="24"/>
        </w:rPr>
      </w:pPr>
      <w:r w:rsidRPr="00CA2890">
        <w:rPr>
          <w:rFonts w:asciiTheme="minorHAnsi" w:hAnsiTheme="minorHAnsi"/>
          <w:szCs w:val="24"/>
        </w:rPr>
        <w:t xml:space="preserve">This clinical SOP outlines the procedures for the supply, </w:t>
      </w:r>
      <w:r w:rsidR="00D70D52">
        <w:rPr>
          <w:rFonts w:asciiTheme="minorHAnsi" w:hAnsiTheme="minorHAnsi"/>
          <w:szCs w:val="24"/>
        </w:rPr>
        <w:t>carriage,</w:t>
      </w:r>
      <w:r>
        <w:rPr>
          <w:rFonts w:asciiTheme="minorHAnsi" w:hAnsiTheme="minorHAnsi"/>
          <w:szCs w:val="24"/>
        </w:rPr>
        <w:t xml:space="preserve"> and administration of prehospital blood products</w:t>
      </w:r>
      <w:r w:rsidR="001D48D6">
        <w:rPr>
          <w:rFonts w:asciiTheme="minorHAnsi" w:hAnsiTheme="minorHAnsi"/>
          <w:szCs w:val="24"/>
        </w:rPr>
        <w:t xml:space="preserve"> by TAAS. It has been agreed </w:t>
      </w:r>
      <w:r>
        <w:rPr>
          <w:rFonts w:asciiTheme="minorHAnsi" w:hAnsiTheme="minorHAnsi"/>
          <w:szCs w:val="24"/>
        </w:rPr>
        <w:t xml:space="preserve">by Nottingham University Hospital and University Hospital Coventry </w:t>
      </w:r>
      <w:r w:rsidR="001D48D6">
        <w:rPr>
          <w:rFonts w:asciiTheme="minorHAnsi" w:hAnsiTheme="minorHAnsi"/>
          <w:szCs w:val="24"/>
        </w:rPr>
        <w:t xml:space="preserve">Blood Transfusion Laboratories. </w:t>
      </w:r>
    </w:p>
    <w:p w14:paraId="68ABBA34" w14:textId="77777777" w:rsidR="00CA2890" w:rsidRDefault="00CA2890" w:rsidP="00CA2890">
      <w:pPr>
        <w:rPr>
          <w:rFonts w:asciiTheme="minorHAnsi" w:hAnsiTheme="minorHAnsi"/>
          <w:b/>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4"/>
        <w:gridCol w:w="7905"/>
      </w:tblGrid>
      <w:tr w:rsidR="00CA2890" w:rsidRPr="00CA2890" w14:paraId="699DF55A" w14:textId="77777777" w:rsidTr="001D48D6">
        <w:tc>
          <w:tcPr>
            <w:tcW w:w="1734" w:type="dxa"/>
          </w:tcPr>
          <w:p w14:paraId="1BD6F4B1" w14:textId="5B09A25B" w:rsidR="00CA2890" w:rsidRPr="00CA2890" w:rsidRDefault="00CA2890" w:rsidP="00CA2890">
            <w:pPr>
              <w:spacing w:line="278" w:lineRule="exact"/>
              <w:rPr>
                <w:rFonts w:asciiTheme="minorHAnsi" w:hAnsiTheme="minorHAnsi"/>
                <w:b/>
                <w:szCs w:val="24"/>
              </w:rPr>
            </w:pPr>
            <w:r w:rsidRPr="00CA2890">
              <w:rPr>
                <w:rFonts w:asciiTheme="minorHAnsi" w:hAnsiTheme="minorHAnsi"/>
                <w:b/>
                <w:szCs w:val="24"/>
              </w:rPr>
              <w:t>Abbreviations</w:t>
            </w:r>
          </w:p>
        </w:tc>
        <w:tc>
          <w:tcPr>
            <w:tcW w:w="7905" w:type="dxa"/>
          </w:tcPr>
          <w:p w14:paraId="2075FDFF" w14:textId="77777777" w:rsidR="00CA2890" w:rsidRPr="00CA2890" w:rsidRDefault="00CA2890" w:rsidP="00CA2890">
            <w:pPr>
              <w:spacing w:line="278" w:lineRule="exact"/>
              <w:rPr>
                <w:rFonts w:asciiTheme="minorHAnsi" w:hAnsiTheme="minorHAnsi"/>
                <w:b/>
                <w:szCs w:val="24"/>
              </w:rPr>
            </w:pPr>
            <w:r w:rsidRPr="00CA2890">
              <w:rPr>
                <w:rFonts w:asciiTheme="minorHAnsi" w:hAnsiTheme="minorHAnsi"/>
                <w:b/>
                <w:szCs w:val="24"/>
              </w:rPr>
              <w:t>Definitions</w:t>
            </w:r>
          </w:p>
        </w:tc>
      </w:tr>
      <w:tr w:rsidR="00CA2890" w:rsidRPr="00CA2890" w14:paraId="73532FFA" w14:textId="77777777" w:rsidTr="001D48D6">
        <w:tc>
          <w:tcPr>
            <w:tcW w:w="1734" w:type="dxa"/>
          </w:tcPr>
          <w:p w14:paraId="6BDA761A" w14:textId="5452A62A" w:rsidR="00CA2890" w:rsidRPr="00CA2890" w:rsidRDefault="00CA2890" w:rsidP="00CA2890">
            <w:pPr>
              <w:spacing w:line="278" w:lineRule="exact"/>
              <w:rPr>
                <w:rFonts w:asciiTheme="minorHAnsi" w:hAnsiTheme="minorHAnsi"/>
                <w:szCs w:val="24"/>
              </w:rPr>
            </w:pPr>
            <w:proofErr w:type="spellStart"/>
            <w:r>
              <w:rPr>
                <w:rFonts w:asciiTheme="minorHAnsi" w:hAnsiTheme="minorHAnsi"/>
                <w:szCs w:val="24"/>
              </w:rPr>
              <w:t>pRBC</w:t>
            </w:r>
            <w:proofErr w:type="spellEnd"/>
          </w:p>
        </w:tc>
        <w:tc>
          <w:tcPr>
            <w:tcW w:w="7905" w:type="dxa"/>
          </w:tcPr>
          <w:p w14:paraId="36F1BFAD" w14:textId="5A6A91DB" w:rsidR="00CA2890" w:rsidRPr="00CA2890" w:rsidRDefault="00CA2890" w:rsidP="00CA2890">
            <w:pPr>
              <w:spacing w:line="278" w:lineRule="exact"/>
              <w:rPr>
                <w:rFonts w:asciiTheme="minorHAnsi" w:hAnsiTheme="minorHAnsi"/>
                <w:szCs w:val="24"/>
              </w:rPr>
            </w:pPr>
            <w:r>
              <w:rPr>
                <w:rFonts w:asciiTheme="minorHAnsi" w:hAnsiTheme="minorHAnsi"/>
                <w:szCs w:val="24"/>
              </w:rPr>
              <w:t>Packed red blood cells</w:t>
            </w:r>
          </w:p>
        </w:tc>
      </w:tr>
      <w:tr w:rsidR="00CA2890" w:rsidRPr="00CA2890" w14:paraId="407E9CD0" w14:textId="77777777" w:rsidTr="001D48D6">
        <w:tc>
          <w:tcPr>
            <w:tcW w:w="1734" w:type="dxa"/>
          </w:tcPr>
          <w:p w14:paraId="59648BBF" w14:textId="01BD6CF5" w:rsidR="00CA2890" w:rsidRPr="00CA2890" w:rsidRDefault="00CA2890" w:rsidP="00CA2890">
            <w:pPr>
              <w:spacing w:line="278" w:lineRule="exact"/>
              <w:rPr>
                <w:rFonts w:asciiTheme="minorHAnsi" w:hAnsiTheme="minorHAnsi"/>
                <w:szCs w:val="24"/>
              </w:rPr>
            </w:pPr>
            <w:r>
              <w:rPr>
                <w:rFonts w:asciiTheme="minorHAnsi" w:hAnsiTheme="minorHAnsi"/>
                <w:szCs w:val="24"/>
              </w:rPr>
              <w:t>FFP</w:t>
            </w:r>
          </w:p>
        </w:tc>
        <w:tc>
          <w:tcPr>
            <w:tcW w:w="7905" w:type="dxa"/>
          </w:tcPr>
          <w:p w14:paraId="0151F708" w14:textId="456A67FC" w:rsidR="00CA2890" w:rsidRPr="00CA2890" w:rsidRDefault="00CA2890" w:rsidP="00CA2890">
            <w:pPr>
              <w:spacing w:line="278" w:lineRule="exact"/>
              <w:rPr>
                <w:rFonts w:asciiTheme="minorHAnsi" w:hAnsiTheme="minorHAnsi"/>
                <w:szCs w:val="24"/>
              </w:rPr>
            </w:pPr>
            <w:r>
              <w:rPr>
                <w:rFonts w:asciiTheme="minorHAnsi" w:hAnsiTheme="minorHAnsi"/>
                <w:szCs w:val="24"/>
              </w:rPr>
              <w:t>Fresh Frozen Plasma</w:t>
            </w:r>
          </w:p>
        </w:tc>
      </w:tr>
      <w:tr w:rsidR="00CA2890" w:rsidRPr="00CA2890" w14:paraId="04B3375A" w14:textId="77777777" w:rsidTr="001D48D6">
        <w:tc>
          <w:tcPr>
            <w:tcW w:w="1734" w:type="dxa"/>
          </w:tcPr>
          <w:p w14:paraId="70DBD125" w14:textId="1E23F7D4" w:rsidR="00CA2890" w:rsidRDefault="00CA2890" w:rsidP="00CA2890">
            <w:pPr>
              <w:spacing w:line="278" w:lineRule="exact"/>
              <w:rPr>
                <w:rFonts w:asciiTheme="minorHAnsi" w:hAnsiTheme="minorHAnsi"/>
                <w:szCs w:val="24"/>
              </w:rPr>
            </w:pPr>
            <w:r>
              <w:rPr>
                <w:rFonts w:asciiTheme="minorHAnsi" w:hAnsiTheme="minorHAnsi"/>
                <w:szCs w:val="24"/>
              </w:rPr>
              <w:t>TXA</w:t>
            </w:r>
          </w:p>
        </w:tc>
        <w:tc>
          <w:tcPr>
            <w:tcW w:w="7905" w:type="dxa"/>
          </w:tcPr>
          <w:p w14:paraId="3BF36D41" w14:textId="64E74C37" w:rsidR="00CA2890" w:rsidRPr="00CA2890" w:rsidRDefault="00CA2890" w:rsidP="00CA2890">
            <w:pPr>
              <w:spacing w:line="278" w:lineRule="exact"/>
              <w:rPr>
                <w:rFonts w:asciiTheme="minorHAnsi" w:hAnsiTheme="minorHAnsi"/>
                <w:szCs w:val="24"/>
              </w:rPr>
            </w:pPr>
            <w:r>
              <w:rPr>
                <w:rFonts w:asciiTheme="minorHAnsi" w:hAnsiTheme="minorHAnsi"/>
                <w:szCs w:val="24"/>
              </w:rPr>
              <w:t>Tranexamic acid</w:t>
            </w:r>
          </w:p>
        </w:tc>
      </w:tr>
      <w:tr w:rsidR="00CA2890" w:rsidRPr="00CA2890" w14:paraId="366D0BDD" w14:textId="77777777" w:rsidTr="001D48D6">
        <w:tc>
          <w:tcPr>
            <w:tcW w:w="1734" w:type="dxa"/>
          </w:tcPr>
          <w:p w14:paraId="7A90A084" w14:textId="1863CFC5" w:rsidR="00CA2890" w:rsidRDefault="00CA2890" w:rsidP="00CA2890">
            <w:pPr>
              <w:spacing w:line="278" w:lineRule="exact"/>
              <w:rPr>
                <w:rFonts w:asciiTheme="minorHAnsi" w:hAnsiTheme="minorHAnsi"/>
                <w:szCs w:val="24"/>
              </w:rPr>
            </w:pPr>
            <w:r>
              <w:rPr>
                <w:rFonts w:asciiTheme="minorHAnsi" w:hAnsiTheme="minorHAnsi"/>
                <w:szCs w:val="24"/>
              </w:rPr>
              <w:t>MHP</w:t>
            </w:r>
          </w:p>
        </w:tc>
        <w:tc>
          <w:tcPr>
            <w:tcW w:w="7905" w:type="dxa"/>
          </w:tcPr>
          <w:p w14:paraId="196AEF5A" w14:textId="482680B9" w:rsidR="00CA2890" w:rsidRPr="00CA2890" w:rsidRDefault="00CA2890" w:rsidP="00CA2890">
            <w:pPr>
              <w:spacing w:line="278" w:lineRule="exact"/>
              <w:rPr>
                <w:rFonts w:asciiTheme="minorHAnsi" w:hAnsiTheme="minorHAnsi"/>
                <w:szCs w:val="24"/>
              </w:rPr>
            </w:pPr>
            <w:r>
              <w:rPr>
                <w:rFonts w:asciiTheme="minorHAnsi" w:hAnsiTheme="minorHAnsi"/>
                <w:szCs w:val="24"/>
              </w:rPr>
              <w:t>Massive Haemorrhage Protocol (at hospital)</w:t>
            </w:r>
          </w:p>
        </w:tc>
      </w:tr>
      <w:tr w:rsidR="00CA2890" w:rsidRPr="00CA2890" w14:paraId="70DA85E2" w14:textId="77777777" w:rsidTr="001D48D6">
        <w:tc>
          <w:tcPr>
            <w:tcW w:w="1734" w:type="dxa"/>
          </w:tcPr>
          <w:p w14:paraId="3CA102FB" w14:textId="08250FFA" w:rsidR="00CA2890" w:rsidRDefault="00CA2890" w:rsidP="00CA2890">
            <w:pPr>
              <w:spacing w:line="278" w:lineRule="exact"/>
              <w:rPr>
                <w:rFonts w:asciiTheme="minorHAnsi" w:hAnsiTheme="minorHAnsi"/>
                <w:szCs w:val="24"/>
              </w:rPr>
            </w:pPr>
            <w:r>
              <w:rPr>
                <w:rFonts w:asciiTheme="minorHAnsi" w:hAnsiTheme="minorHAnsi"/>
                <w:szCs w:val="24"/>
              </w:rPr>
              <w:t>SBP</w:t>
            </w:r>
          </w:p>
        </w:tc>
        <w:tc>
          <w:tcPr>
            <w:tcW w:w="7905" w:type="dxa"/>
          </w:tcPr>
          <w:p w14:paraId="07FC306D" w14:textId="10E2AA56" w:rsidR="00CA2890" w:rsidRPr="00CA2890" w:rsidRDefault="00CA2890" w:rsidP="00CA2890">
            <w:pPr>
              <w:spacing w:line="278" w:lineRule="exact"/>
              <w:rPr>
                <w:rFonts w:asciiTheme="minorHAnsi" w:hAnsiTheme="minorHAnsi"/>
                <w:szCs w:val="24"/>
              </w:rPr>
            </w:pPr>
            <w:r>
              <w:rPr>
                <w:rFonts w:asciiTheme="minorHAnsi" w:hAnsiTheme="minorHAnsi"/>
                <w:szCs w:val="24"/>
              </w:rPr>
              <w:t>Systolic Blood Pressure</w:t>
            </w:r>
          </w:p>
        </w:tc>
      </w:tr>
      <w:tr w:rsidR="00CA2890" w:rsidRPr="00CA2890" w14:paraId="460D00CC" w14:textId="77777777" w:rsidTr="001D48D6">
        <w:tc>
          <w:tcPr>
            <w:tcW w:w="1734" w:type="dxa"/>
          </w:tcPr>
          <w:p w14:paraId="1BADE384" w14:textId="62AD67C7" w:rsidR="00CA2890" w:rsidRDefault="00CA2890" w:rsidP="00CA2890">
            <w:pPr>
              <w:spacing w:line="278" w:lineRule="exact"/>
              <w:rPr>
                <w:rFonts w:asciiTheme="minorHAnsi" w:hAnsiTheme="minorHAnsi"/>
                <w:szCs w:val="24"/>
              </w:rPr>
            </w:pPr>
            <w:r>
              <w:rPr>
                <w:rFonts w:asciiTheme="minorHAnsi" w:hAnsiTheme="minorHAnsi"/>
                <w:szCs w:val="24"/>
              </w:rPr>
              <w:t>GCS</w:t>
            </w:r>
          </w:p>
        </w:tc>
        <w:tc>
          <w:tcPr>
            <w:tcW w:w="7905" w:type="dxa"/>
          </w:tcPr>
          <w:p w14:paraId="78FE1232" w14:textId="31732286" w:rsidR="00CA2890" w:rsidRPr="00CA2890" w:rsidRDefault="00CA2890" w:rsidP="00CA2890">
            <w:pPr>
              <w:spacing w:line="278" w:lineRule="exact"/>
              <w:rPr>
                <w:rFonts w:asciiTheme="minorHAnsi" w:hAnsiTheme="minorHAnsi"/>
                <w:szCs w:val="24"/>
              </w:rPr>
            </w:pPr>
            <w:r>
              <w:rPr>
                <w:rFonts w:asciiTheme="minorHAnsi" w:hAnsiTheme="minorHAnsi"/>
                <w:szCs w:val="24"/>
              </w:rPr>
              <w:t>Glasgow Coma Scale</w:t>
            </w:r>
          </w:p>
        </w:tc>
      </w:tr>
      <w:tr w:rsidR="00CA2890" w:rsidRPr="00CA2890" w14:paraId="30EBD900" w14:textId="77777777" w:rsidTr="001D48D6">
        <w:tc>
          <w:tcPr>
            <w:tcW w:w="1734" w:type="dxa"/>
          </w:tcPr>
          <w:p w14:paraId="3FE304E3" w14:textId="2900315E" w:rsidR="00CA2890" w:rsidRDefault="00CA2890" w:rsidP="00CA2890">
            <w:pPr>
              <w:spacing w:line="278" w:lineRule="exact"/>
              <w:rPr>
                <w:rFonts w:asciiTheme="minorHAnsi" w:hAnsiTheme="minorHAnsi"/>
                <w:szCs w:val="24"/>
              </w:rPr>
            </w:pPr>
            <w:r>
              <w:rPr>
                <w:rFonts w:asciiTheme="minorHAnsi" w:hAnsiTheme="minorHAnsi"/>
                <w:szCs w:val="24"/>
              </w:rPr>
              <w:t>NHSBT</w:t>
            </w:r>
          </w:p>
        </w:tc>
        <w:tc>
          <w:tcPr>
            <w:tcW w:w="7905" w:type="dxa"/>
          </w:tcPr>
          <w:p w14:paraId="033F5D53" w14:textId="0755654B" w:rsidR="00CA2890" w:rsidRPr="00CA2890" w:rsidRDefault="00CA2890" w:rsidP="00CA2890">
            <w:pPr>
              <w:spacing w:line="278" w:lineRule="exact"/>
              <w:rPr>
                <w:rFonts w:asciiTheme="minorHAnsi" w:hAnsiTheme="minorHAnsi"/>
                <w:szCs w:val="24"/>
              </w:rPr>
            </w:pPr>
            <w:r w:rsidRPr="00CA2890">
              <w:rPr>
                <w:rFonts w:asciiTheme="minorHAnsi" w:hAnsiTheme="minorHAnsi" w:cs="Arial"/>
                <w:szCs w:val="24"/>
              </w:rPr>
              <w:t>National Health Service Blood and Transfusion</w:t>
            </w:r>
          </w:p>
        </w:tc>
      </w:tr>
      <w:tr w:rsidR="00CA2890" w:rsidRPr="00CA2890" w14:paraId="7BD5F6D0" w14:textId="77777777" w:rsidTr="001D48D6">
        <w:tc>
          <w:tcPr>
            <w:tcW w:w="1734" w:type="dxa"/>
          </w:tcPr>
          <w:p w14:paraId="53B205EA" w14:textId="00D33D83" w:rsidR="00CA2890" w:rsidRDefault="00CA2890" w:rsidP="00CA2890">
            <w:pPr>
              <w:spacing w:line="278" w:lineRule="exact"/>
              <w:rPr>
                <w:rFonts w:asciiTheme="minorHAnsi" w:hAnsiTheme="minorHAnsi"/>
                <w:szCs w:val="24"/>
              </w:rPr>
            </w:pPr>
            <w:r>
              <w:rPr>
                <w:rFonts w:asciiTheme="minorHAnsi" w:hAnsiTheme="minorHAnsi"/>
                <w:szCs w:val="24"/>
              </w:rPr>
              <w:t>BTL</w:t>
            </w:r>
          </w:p>
        </w:tc>
        <w:tc>
          <w:tcPr>
            <w:tcW w:w="7905" w:type="dxa"/>
          </w:tcPr>
          <w:p w14:paraId="6F99D6E5" w14:textId="60F6B0D6" w:rsidR="00CA2890" w:rsidRPr="00CA2890" w:rsidRDefault="00CA2890" w:rsidP="00CA2890">
            <w:pPr>
              <w:spacing w:line="278" w:lineRule="exact"/>
              <w:rPr>
                <w:rFonts w:asciiTheme="minorHAnsi" w:hAnsiTheme="minorHAnsi"/>
                <w:szCs w:val="24"/>
              </w:rPr>
            </w:pPr>
            <w:r>
              <w:rPr>
                <w:rFonts w:asciiTheme="minorHAnsi" w:hAnsiTheme="minorHAnsi"/>
                <w:szCs w:val="24"/>
              </w:rPr>
              <w:t>Blood Transfusion Laboratory (at NUH or UHCW)</w:t>
            </w:r>
          </w:p>
        </w:tc>
      </w:tr>
      <w:tr w:rsidR="00CA2890" w:rsidRPr="00CA2890" w14:paraId="33D8020B" w14:textId="77777777" w:rsidTr="001D48D6">
        <w:tc>
          <w:tcPr>
            <w:tcW w:w="1734" w:type="dxa"/>
          </w:tcPr>
          <w:p w14:paraId="6258BF8B" w14:textId="72EAEE9C" w:rsidR="00CA2890" w:rsidRDefault="00CA2890" w:rsidP="00CA2890">
            <w:pPr>
              <w:spacing w:line="278" w:lineRule="exact"/>
              <w:rPr>
                <w:rFonts w:asciiTheme="minorHAnsi" w:hAnsiTheme="minorHAnsi"/>
                <w:szCs w:val="24"/>
              </w:rPr>
            </w:pPr>
            <w:r>
              <w:rPr>
                <w:rFonts w:asciiTheme="minorHAnsi" w:hAnsiTheme="minorHAnsi"/>
                <w:szCs w:val="24"/>
              </w:rPr>
              <w:t>TRS</w:t>
            </w:r>
          </w:p>
        </w:tc>
        <w:tc>
          <w:tcPr>
            <w:tcW w:w="7905" w:type="dxa"/>
          </w:tcPr>
          <w:p w14:paraId="01B91144" w14:textId="39D0D3F4" w:rsidR="00CA2890" w:rsidRPr="00CA2890" w:rsidRDefault="00CA2890" w:rsidP="00CA2890">
            <w:pPr>
              <w:spacing w:line="278" w:lineRule="exact"/>
              <w:rPr>
                <w:rFonts w:asciiTheme="minorHAnsi" w:hAnsiTheme="minorHAnsi"/>
                <w:szCs w:val="24"/>
              </w:rPr>
            </w:pPr>
            <w:r>
              <w:rPr>
                <w:rFonts w:asciiTheme="minorHAnsi" w:hAnsiTheme="minorHAnsi"/>
                <w:szCs w:val="24"/>
              </w:rPr>
              <w:t>Transfusion Record Sheet (filled out after administration of blood)</w:t>
            </w:r>
          </w:p>
        </w:tc>
      </w:tr>
      <w:tr w:rsidR="00CA2890" w:rsidRPr="00CA2890" w14:paraId="262B3108" w14:textId="77777777" w:rsidTr="001D48D6">
        <w:tc>
          <w:tcPr>
            <w:tcW w:w="1734" w:type="dxa"/>
          </w:tcPr>
          <w:p w14:paraId="39203611" w14:textId="6AFD95C7" w:rsidR="00CA2890" w:rsidRDefault="00CA2890" w:rsidP="00CA2890">
            <w:pPr>
              <w:spacing w:line="278" w:lineRule="exact"/>
              <w:rPr>
                <w:rFonts w:asciiTheme="minorHAnsi" w:hAnsiTheme="minorHAnsi"/>
                <w:szCs w:val="24"/>
              </w:rPr>
            </w:pPr>
            <w:r>
              <w:rPr>
                <w:rFonts w:asciiTheme="minorHAnsi" w:hAnsiTheme="minorHAnsi"/>
                <w:szCs w:val="24"/>
              </w:rPr>
              <w:t>SABRE</w:t>
            </w:r>
          </w:p>
        </w:tc>
        <w:tc>
          <w:tcPr>
            <w:tcW w:w="7905" w:type="dxa"/>
          </w:tcPr>
          <w:p w14:paraId="23C70C2F" w14:textId="50A9653F" w:rsidR="00CA2890" w:rsidRDefault="00C771AE" w:rsidP="00CA2890">
            <w:pPr>
              <w:spacing w:line="278" w:lineRule="exact"/>
              <w:rPr>
                <w:rFonts w:asciiTheme="minorHAnsi" w:hAnsiTheme="minorHAnsi"/>
                <w:szCs w:val="24"/>
              </w:rPr>
            </w:pPr>
            <w:r>
              <w:rPr>
                <w:rFonts w:asciiTheme="minorHAnsi" w:hAnsiTheme="minorHAnsi"/>
                <w:szCs w:val="24"/>
              </w:rPr>
              <w:t>Serious Adverse Blood Reactions and Events (MHRA reporting system)</w:t>
            </w:r>
          </w:p>
        </w:tc>
      </w:tr>
      <w:tr w:rsidR="00CA2890" w:rsidRPr="00CA2890" w14:paraId="1A8982E8" w14:textId="77777777" w:rsidTr="001D48D6">
        <w:tc>
          <w:tcPr>
            <w:tcW w:w="1734" w:type="dxa"/>
          </w:tcPr>
          <w:p w14:paraId="0B6F7D7A" w14:textId="721BB02E" w:rsidR="00CA2890" w:rsidRDefault="00CA2890" w:rsidP="00CA2890">
            <w:pPr>
              <w:spacing w:line="278" w:lineRule="exact"/>
              <w:rPr>
                <w:rFonts w:asciiTheme="minorHAnsi" w:hAnsiTheme="minorHAnsi"/>
                <w:szCs w:val="24"/>
              </w:rPr>
            </w:pPr>
            <w:r>
              <w:rPr>
                <w:rFonts w:asciiTheme="minorHAnsi" w:hAnsiTheme="minorHAnsi"/>
                <w:szCs w:val="24"/>
              </w:rPr>
              <w:t>BTR</w:t>
            </w:r>
          </w:p>
        </w:tc>
        <w:tc>
          <w:tcPr>
            <w:tcW w:w="7905" w:type="dxa"/>
          </w:tcPr>
          <w:p w14:paraId="4F2D5E5A" w14:textId="1B164338" w:rsidR="00CA2890" w:rsidRDefault="00CA2890" w:rsidP="00CA2890">
            <w:pPr>
              <w:spacing w:line="278" w:lineRule="exact"/>
              <w:rPr>
                <w:rFonts w:asciiTheme="minorHAnsi" w:hAnsiTheme="minorHAnsi"/>
                <w:szCs w:val="24"/>
              </w:rPr>
            </w:pPr>
            <w:r>
              <w:rPr>
                <w:rFonts w:asciiTheme="minorHAnsi" w:hAnsiTheme="minorHAnsi"/>
                <w:szCs w:val="24"/>
              </w:rPr>
              <w:t>Box Tracking Record (filled out by staff handing over blood boxes/products)</w:t>
            </w:r>
          </w:p>
        </w:tc>
      </w:tr>
    </w:tbl>
    <w:p w14:paraId="404408CD" w14:textId="77777777" w:rsidR="00CA2890" w:rsidRDefault="00CA2890" w:rsidP="00CA2890">
      <w:pPr>
        <w:rPr>
          <w:rFonts w:asciiTheme="minorHAnsi" w:hAnsiTheme="minorHAnsi"/>
          <w:b/>
          <w:szCs w:val="24"/>
          <w:u w:val="single"/>
        </w:rPr>
      </w:pPr>
    </w:p>
    <w:p w14:paraId="5A9B5587" w14:textId="77777777" w:rsidR="00C771AE" w:rsidRDefault="00C771AE" w:rsidP="00CA2890">
      <w:pPr>
        <w:rPr>
          <w:rFonts w:asciiTheme="minorHAnsi" w:hAnsiTheme="minorHAnsi"/>
          <w:b/>
          <w:szCs w:val="24"/>
          <w:u w:val="single"/>
        </w:rPr>
      </w:pPr>
    </w:p>
    <w:p w14:paraId="0D1287E1" w14:textId="77777777" w:rsidR="00CA2890" w:rsidRDefault="00CA2890" w:rsidP="00CA2890">
      <w:pPr>
        <w:rPr>
          <w:rFonts w:asciiTheme="minorHAnsi" w:hAnsiTheme="minorHAnsi"/>
          <w:b/>
          <w:szCs w:val="24"/>
          <w:u w:val="single"/>
        </w:rPr>
      </w:pPr>
    </w:p>
    <w:p w14:paraId="5E470C1A" w14:textId="77777777" w:rsidR="00CA2890" w:rsidRPr="00CA2890" w:rsidRDefault="00CA2890" w:rsidP="00CA2890">
      <w:pPr>
        <w:pStyle w:val="Default"/>
        <w:jc w:val="both"/>
        <w:rPr>
          <w:rFonts w:asciiTheme="minorHAnsi" w:hAnsiTheme="minorHAnsi"/>
        </w:rPr>
      </w:pPr>
      <w:r w:rsidRPr="00CA2890">
        <w:rPr>
          <w:rFonts w:asciiTheme="minorHAnsi" w:hAnsiTheme="minorHAnsi"/>
        </w:rPr>
        <w:t>TAAS carries packed red blood cells (</w:t>
      </w:r>
      <w:proofErr w:type="spellStart"/>
      <w:r w:rsidRPr="00CA2890">
        <w:rPr>
          <w:rFonts w:asciiTheme="minorHAnsi" w:hAnsiTheme="minorHAnsi"/>
        </w:rPr>
        <w:t>pRBC</w:t>
      </w:r>
      <w:proofErr w:type="spellEnd"/>
      <w:r w:rsidRPr="00CA2890">
        <w:rPr>
          <w:rFonts w:asciiTheme="minorHAnsi" w:hAnsiTheme="minorHAnsi"/>
        </w:rPr>
        <w:t xml:space="preserve">) and fresh frozen plasma (FFP) for the prehospital resuscitation of patients with life-threatening </w:t>
      </w:r>
      <w:proofErr w:type="spellStart"/>
      <w:r w:rsidRPr="00CA2890">
        <w:rPr>
          <w:rFonts w:asciiTheme="minorHAnsi" w:hAnsiTheme="minorHAnsi"/>
        </w:rPr>
        <w:t>haemorrhage</w:t>
      </w:r>
      <w:proofErr w:type="spellEnd"/>
      <w:r w:rsidRPr="00CA2890">
        <w:rPr>
          <w:rFonts w:asciiTheme="minorHAnsi" w:hAnsiTheme="minorHAnsi"/>
        </w:rPr>
        <w:t xml:space="preserve">. </w:t>
      </w:r>
    </w:p>
    <w:p w14:paraId="66A8350F" w14:textId="77777777" w:rsidR="00CA2890" w:rsidRPr="00CA2890" w:rsidRDefault="00CA2890" w:rsidP="00CA2890">
      <w:pPr>
        <w:pStyle w:val="Default"/>
        <w:jc w:val="both"/>
        <w:rPr>
          <w:rFonts w:asciiTheme="minorHAnsi" w:hAnsiTheme="minorHAnsi"/>
        </w:rPr>
      </w:pPr>
    </w:p>
    <w:p w14:paraId="5E0864B4" w14:textId="77777777" w:rsidR="00CA2890" w:rsidRPr="00CA2890" w:rsidRDefault="00CA2890" w:rsidP="00CA2890">
      <w:pPr>
        <w:pStyle w:val="Default"/>
        <w:jc w:val="both"/>
        <w:rPr>
          <w:rFonts w:asciiTheme="minorHAnsi" w:hAnsiTheme="minorHAnsi"/>
        </w:rPr>
      </w:pPr>
      <w:r w:rsidRPr="00CA2890">
        <w:rPr>
          <w:rFonts w:asciiTheme="minorHAnsi" w:hAnsiTheme="minorHAnsi"/>
        </w:rPr>
        <w:t xml:space="preserve">Emergency blood components are a precious and limited resource, and there are risks associated with blood administration. TAAS clinicians will ensure all efforts to preserve blood volume have been undertaken prior to and during transfusion, that blood components are not given unnecessarily, and that wastage of blood is avoided. </w:t>
      </w:r>
    </w:p>
    <w:p w14:paraId="030C2895" w14:textId="77777777" w:rsidR="00CA2890" w:rsidRPr="00CA2890" w:rsidRDefault="00CA2890" w:rsidP="00CA2890">
      <w:pPr>
        <w:pStyle w:val="Default"/>
        <w:jc w:val="both"/>
        <w:rPr>
          <w:rFonts w:asciiTheme="minorHAnsi" w:hAnsiTheme="minorHAnsi"/>
        </w:rPr>
      </w:pPr>
    </w:p>
    <w:p w14:paraId="047D91C8" w14:textId="77777777" w:rsidR="00CA2890" w:rsidRPr="00CA2890" w:rsidRDefault="00CA2890" w:rsidP="00CA2890">
      <w:pPr>
        <w:pStyle w:val="Default"/>
        <w:jc w:val="both"/>
        <w:rPr>
          <w:rFonts w:asciiTheme="minorHAnsi" w:hAnsiTheme="minorHAnsi"/>
        </w:rPr>
      </w:pPr>
      <w:r w:rsidRPr="00CA2890">
        <w:rPr>
          <w:rFonts w:asciiTheme="minorHAnsi" w:hAnsiTheme="minorHAnsi"/>
        </w:rPr>
        <w:t xml:space="preserve">Blood transfusion represents only one part of a holistic approach to the patient with major </w:t>
      </w:r>
      <w:proofErr w:type="spellStart"/>
      <w:r w:rsidRPr="00CA2890">
        <w:rPr>
          <w:rFonts w:asciiTheme="minorHAnsi" w:hAnsiTheme="minorHAnsi"/>
        </w:rPr>
        <w:t>haemorrhage</w:t>
      </w:r>
      <w:proofErr w:type="spellEnd"/>
      <w:r w:rsidRPr="00CA2890">
        <w:rPr>
          <w:rFonts w:asciiTheme="minorHAnsi" w:hAnsiTheme="minorHAnsi"/>
        </w:rPr>
        <w:t>. Patients also require, where applicable:</w:t>
      </w:r>
    </w:p>
    <w:p w14:paraId="604E5B3B" w14:textId="77777777" w:rsidR="00CA2890" w:rsidRPr="00CA2890" w:rsidRDefault="00CA2890" w:rsidP="00CA2890">
      <w:pPr>
        <w:pStyle w:val="Default"/>
        <w:numPr>
          <w:ilvl w:val="0"/>
          <w:numId w:val="25"/>
        </w:numPr>
        <w:jc w:val="both"/>
        <w:rPr>
          <w:rFonts w:asciiTheme="minorHAnsi" w:hAnsiTheme="minorHAnsi"/>
        </w:rPr>
      </w:pPr>
      <w:r w:rsidRPr="00CA2890">
        <w:rPr>
          <w:rFonts w:asciiTheme="minorHAnsi" w:hAnsiTheme="minorHAnsi"/>
        </w:rPr>
        <w:t xml:space="preserve">Control of external </w:t>
      </w:r>
      <w:proofErr w:type="spellStart"/>
      <w:r w:rsidRPr="00CA2890">
        <w:rPr>
          <w:rFonts w:asciiTheme="minorHAnsi" w:hAnsiTheme="minorHAnsi"/>
        </w:rPr>
        <w:t>haemorrhage</w:t>
      </w:r>
      <w:proofErr w:type="spellEnd"/>
    </w:p>
    <w:p w14:paraId="390ED266" w14:textId="77777777" w:rsidR="00CA2890" w:rsidRPr="00CA2890" w:rsidRDefault="00CA2890" w:rsidP="00CA2890">
      <w:pPr>
        <w:pStyle w:val="Default"/>
        <w:numPr>
          <w:ilvl w:val="0"/>
          <w:numId w:val="25"/>
        </w:numPr>
        <w:jc w:val="both"/>
        <w:rPr>
          <w:rFonts w:asciiTheme="minorHAnsi" w:hAnsiTheme="minorHAnsi"/>
        </w:rPr>
      </w:pPr>
      <w:r w:rsidRPr="00CA2890">
        <w:rPr>
          <w:rFonts w:asciiTheme="minorHAnsi" w:hAnsiTheme="minorHAnsi"/>
        </w:rPr>
        <w:t>Splinting the pelvis and fractured long bones</w:t>
      </w:r>
    </w:p>
    <w:p w14:paraId="08AA53CC" w14:textId="77777777" w:rsidR="00CA2890" w:rsidRPr="00CA2890" w:rsidRDefault="00CA2890" w:rsidP="00CA2890">
      <w:pPr>
        <w:pStyle w:val="Default"/>
        <w:numPr>
          <w:ilvl w:val="0"/>
          <w:numId w:val="25"/>
        </w:numPr>
        <w:jc w:val="both"/>
        <w:rPr>
          <w:rFonts w:asciiTheme="minorHAnsi" w:hAnsiTheme="minorHAnsi"/>
        </w:rPr>
      </w:pPr>
      <w:proofErr w:type="spellStart"/>
      <w:r w:rsidRPr="00CA2890">
        <w:rPr>
          <w:rFonts w:asciiTheme="minorHAnsi" w:hAnsiTheme="minorHAnsi"/>
        </w:rPr>
        <w:t>Maxfax</w:t>
      </w:r>
      <w:proofErr w:type="spellEnd"/>
      <w:r w:rsidRPr="00CA2890">
        <w:rPr>
          <w:rFonts w:asciiTheme="minorHAnsi" w:hAnsiTheme="minorHAnsi"/>
        </w:rPr>
        <w:t xml:space="preserve"> </w:t>
      </w:r>
      <w:proofErr w:type="spellStart"/>
      <w:r w:rsidRPr="00CA2890">
        <w:rPr>
          <w:rFonts w:asciiTheme="minorHAnsi" w:hAnsiTheme="minorHAnsi"/>
        </w:rPr>
        <w:t>haemorrhage</w:t>
      </w:r>
      <w:proofErr w:type="spellEnd"/>
      <w:r w:rsidRPr="00CA2890">
        <w:rPr>
          <w:rFonts w:asciiTheme="minorHAnsi" w:hAnsiTheme="minorHAnsi"/>
        </w:rPr>
        <w:t xml:space="preserve"> control</w:t>
      </w:r>
    </w:p>
    <w:p w14:paraId="095D6A31" w14:textId="77777777" w:rsidR="00CA2890" w:rsidRPr="00CA2890" w:rsidRDefault="00CA2890" w:rsidP="00CA2890">
      <w:pPr>
        <w:pStyle w:val="Default"/>
        <w:numPr>
          <w:ilvl w:val="0"/>
          <w:numId w:val="25"/>
        </w:numPr>
        <w:jc w:val="both"/>
        <w:rPr>
          <w:rFonts w:asciiTheme="minorHAnsi" w:hAnsiTheme="minorHAnsi"/>
        </w:rPr>
      </w:pPr>
      <w:r w:rsidRPr="00CA2890">
        <w:rPr>
          <w:rFonts w:asciiTheme="minorHAnsi" w:hAnsiTheme="minorHAnsi"/>
        </w:rPr>
        <w:t>Early administration of TXA (1g for adults or 15mg/kg for children)</w:t>
      </w:r>
    </w:p>
    <w:p w14:paraId="5FBF8C4D" w14:textId="77777777" w:rsidR="00CA2890" w:rsidRPr="00CA2890" w:rsidRDefault="00CA2890" w:rsidP="00CA2890">
      <w:pPr>
        <w:pStyle w:val="Default"/>
        <w:numPr>
          <w:ilvl w:val="0"/>
          <w:numId w:val="25"/>
        </w:numPr>
        <w:jc w:val="both"/>
        <w:rPr>
          <w:rFonts w:asciiTheme="minorHAnsi" w:hAnsiTheme="minorHAnsi"/>
        </w:rPr>
      </w:pPr>
      <w:r w:rsidRPr="00CA2890">
        <w:rPr>
          <w:rFonts w:asciiTheme="minorHAnsi" w:hAnsiTheme="minorHAnsi"/>
        </w:rPr>
        <w:t xml:space="preserve">Prevention of hypothermia </w:t>
      </w:r>
    </w:p>
    <w:p w14:paraId="52765025" w14:textId="77777777" w:rsidR="00CA2890" w:rsidRPr="00CA2890" w:rsidRDefault="00CA2890" w:rsidP="00CA2890">
      <w:pPr>
        <w:pStyle w:val="Default"/>
        <w:numPr>
          <w:ilvl w:val="0"/>
          <w:numId w:val="25"/>
        </w:numPr>
        <w:jc w:val="both"/>
        <w:rPr>
          <w:rFonts w:asciiTheme="minorHAnsi" w:hAnsiTheme="minorHAnsi"/>
        </w:rPr>
      </w:pPr>
      <w:r w:rsidRPr="00CA2890">
        <w:rPr>
          <w:rFonts w:asciiTheme="minorHAnsi" w:hAnsiTheme="minorHAnsi"/>
        </w:rPr>
        <w:t xml:space="preserve">Prevention of </w:t>
      </w:r>
      <w:proofErr w:type="spellStart"/>
      <w:r w:rsidRPr="00CA2890">
        <w:rPr>
          <w:rFonts w:asciiTheme="minorHAnsi" w:hAnsiTheme="minorHAnsi"/>
        </w:rPr>
        <w:t>hypocalcaemia</w:t>
      </w:r>
      <w:proofErr w:type="spellEnd"/>
    </w:p>
    <w:p w14:paraId="1FED840B" w14:textId="77777777" w:rsidR="00CA2890" w:rsidRPr="00CA2890" w:rsidRDefault="00CA2890" w:rsidP="00CA2890">
      <w:pPr>
        <w:pStyle w:val="Default"/>
        <w:numPr>
          <w:ilvl w:val="0"/>
          <w:numId w:val="25"/>
        </w:numPr>
        <w:jc w:val="both"/>
        <w:rPr>
          <w:rFonts w:asciiTheme="minorHAnsi" w:hAnsiTheme="minorHAnsi"/>
        </w:rPr>
      </w:pPr>
      <w:r w:rsidRPr="00CA2890">
        <w:rPr>
          <w:rFonts w:asciiTheme="minorHAnsi" w:hAnsiTheme="minorHAnsi"/>
        </w:rPr>
        <w:t>Activation of MHP at receiving hospital</w:t>
      </w:r>
    </w:p>
    <w:p w14:paraId="75EF6359" w14:textId="77777777" w:rsidR="00CA2890" w:rsidRPr="00CA2890" w:rsidRDefault="00CA2890" w:rsidP="00CA2890">
      <w:pPr>
        <w:pStyle w:val="Default"/>
        <w:numPr>
          <w:ilvl w:val="0"/>
          <w:numId w:val="25"/>
        </w:numPr>
        <w:jc w:val="both"/>
        <w:rPr>
          <w:rFonts w:asciiTheme="minorHAnsi" w:hAnsiTheme="minorHAnsi"/>
        </w:rPr>
      </w:pPr>
      <w:r w:rsidRPr="00CA2890">
        <w:rPr>
          <w:rFonts w:asciiTheme="minorHAnsi" w:hAnsiTheme="minorHAnsi"/>
        </w:rPr>
        <w:t xml:space="preserve">Rapid transportation to appropriate hospital for definitive </w:t>
      </w:r>
      <w:proofErr w:type="spellStart"/>
      <w:r w:rsidRPr="00CA2890">
        <w:rPr>
          <w:rFonts w:asciiTheme="minorHAnsi" w:hAnsiTheme="minorHAnsi"/>
        </w:rPr>
        <w:t>haemorrhage</w:t>
      </w:r>
      <w:proofErr w:type="spellEnd"/>
      <w:r w:rsidRPr="00CA2890">
        <w:rPr>
          <w:rFonts w:asciiTheme="minorHAnsi" w:hAnsiTheme="minorHAnsi"/>
        </w:rPr>
        <w:t xml:space="preserve"> control</w:t>
      </w:r>
    </w:p>
    <w:p w14:paraId="7BC346DD" w14:textId="77777777" w:rsidR="00CA2890" w:rsidRPr="00CA2890" w:rsidRDefault="00CA2890" w:rsidP="00CA2890">
      <w:pPr>
        <w:pStyle w:val="Default"/>
        <w:jc w:val="both"/>
        <w:rPr>
          <w:rFonts w:asciiTheme="minorHAnsi" w:hAnsiTheme="minorHAnsi"/>
        </w:rPr>
      </w:pPr>
    </w:p>
    <w:p w14:paraId="0D827E1B" w14:textId="77777777" w:rsidR="00CA2890" w:rsidRPr="00CA2890" w:rsidRDefault="00CA2890" w:rsidP="00CA2890">
      <w:pPr>
        <w:pStyle w:val="Default"/>
        <w:jc w:val="both"/>
        <w:rPr>
          <w:rFonts w:asciiTheme="minorHAnsi" w:hAnsiTheme="minorHAnsi"/>
        </w:rPr>
      </w:pPr>
      <w:r w:rsidRPr="00CA2890">
        <w:rPr>
          <w:rFonts w:asciiTheme="minorHAnsi" w:hAnsiTheme="minorHAnsi"/>
        </w:rPr>
        <w:t xml:space="preserve">Clinicians must also consider, assess and treat alternative potential causes for altered physiology (other than </w:t>
      </w:r>
      <w:proofErr w:type="spellStart"/>
      <w:r w:rsidRPr="00CA2890">
        <w:rPr>
          <w:rFonts w:asciiTheme="minorHAnsi" w:hAnsiTheme="minorHAnsi"/>
        </w:rPr>
        <w:t>haemorrhage</w:t>
      </w:r>
      <w:proofErr w:type="spellEnd"/>
      <w:r w:rsidRPr="00CA2890">
        <w:rPr>
          <w:rFonts w:asciiTheme="minorHAnsi" w:hAnsiTheme="minorHAnsi"/>
        </w:rPr>
        <w:t xml:space="preserve">) </w:t>
      </w:r>
      <w:proofErr w:type="spellStart"/>
      <w:r w:rsidRPr="00CA2890">
        <w:rPr>
          <w:rFonts w:asciiTheme="minorHAnsi" w:hAnsiTheme="minorHAnsi"/>
        </w:rPr>
        <w:t>eg</w:t>
      </w:r>
      <w:proofErr w:type="spellEnd"/>
      <w:r w:rsidRPr="00CA2890">
        <w:rPr>
          <w:rFonts w:asciiTheme="minorHAnsi" w:hAnsiTheme="minorHAnsi"/>
        </w:rPr>
        <w:t xml:space="preserve"> tension pneumothorax, cardiac tamponade, spinal cord injury, anaphylaxis or a hypotensive response to medication.</w:t>
      </w:r>
    </w:p>
    <w:p w14:paraId="608398E1" w14:textId="77777777" w:rsidR="00CA2890" w:rsidRPr="00CA2890" w:rsidRDefault="00CA2890" w:rsidP="00CA2890">
      <w:pPr>
        <w:jc w:val="both"/>
        <w:rPr>
          <w:rFonts w:asciiTheme="minorHAnsi" w:hAnsiTheme="minorHAnsi" w:cs="Arial"/>
          <w:b/>
        </w:rPr>
      </w:pPr>
    </w:p>
    <w:p w14:paraId="338CE501" w14:textId="77777777" w:rsidR="00CA2890" w:rsidRPr="00CA2890" w:rsidRDefault="00CA2890" w:rsidP="00CA2890">
      <w:pPr>
        <w:pBdr>
          <w:top w:val="single" w:sz="4" w:space="1" w:color="auto"/>
          <w:left w:val="single" w:sz="4" w:space="4" w:color="auto"/>
          <w:bottom w:val="single" w:sz="4" w:space="1" w:color="auto"/>
          <w:right w:val="single" w:sz="4" w:space="4" w:color="auto"/>
        </w:pBdr>
        <w:jc w:val="center"/>
        <w:rPr>
          <w:rFonts w:asciiTheme="minorHAnsi" w:hAnsiTheme="minorHAnsi" w:cs="Arial"/>
          <w:b/>
        </w:rPr>
      </w:pPr>
      <w:r w:rsidRPr="00CA2890">
        <w:rPr>
          <w:rFonts w:asciiTheme="minorHAnsi" w:hAnsiTheme="minorHAnsi" w:cs="Arial"/>
          <w:b/>
        </w:rPr>
        <w:t>Indications for prehospital blood transfusion</w:t>
      </w:r>
    </w:p>
    <w:p w14:paraId="3F3A151B" w14:textId="77777777" w:rsidR="00CA2890" w:rsidRPr="00CA2890" w:rsidRDefault="00CA2890" w:rsidP="00CA2890">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14:paraId="32487A10" w14:textId="77777777" w:rsidR="00CA2890" w:rsidRPr="00CA2890" w:rsidRDefault="00CA2890" w:rsidP="00CA2890">
      <w:pPr>
        <w:pBdr>
          <w:top w:val="single" w:sz="4" w:space="1" w:color="auto"/>
          <w:left w:val="single" w:sz="4" w:space="4" w:color="auto"/>
          <w:bottom w:val="single" w:sz="4" w:space="1" w:color="auto"/>
          <w:right w:val="single" w:sz="4" w:space="4" w:color="auto"/>
        </w:pBdr>
        <w:jc w:val="center"/>
        <w:rPr>
          <w:rFonts w:asciiTheme="minorHAnsi" w:hAnsiTheme="minorHAnsi" w:cs="Arial"/>
        </w:rPr>
      </w:pPr>
      <w:r w:rsidRPr="00CA2890">
        <w:rPr>
          <w:rFonts w:asciiTheme="minorHAnsi" w:hAnsiTheme="minorHAnsi" w:cs="Arial"/>
        </w:rPr>
        <w:t>Traumatic or non-traumatic major haemorrhage</w:t>
      </w:r>
    </w:p>
    <w:p w14:paraId="217F75B5" w14:textId="77777777" w:rsidR="00CA2890" w:rsidRPr="00CA2890" w:rsidRDefault="00CA2890" w:rsidP="00CA2890">
      <w:pPr>
        <w:pBdr>
          <w:top w:val="single" w:sz="4" w:space="1" w:color="auto"/>
          <w:left w:val="single" w:sz="4" w:space="4" w:color="auto"/>
          <w:bottom w:val="single" w:sz="4" w:space="1" w:color="auto"/>
          <w:right w:val="single" w:sz="4" w:space="4" w:color="auto"/>
        </w:pBdr>
        <w:jc w:val="center"/>
        <w:rPr>
          <w:rFonts w:asciiTheme="minorHAnsi" w:hAnsiTheme="minorHAnsi" w:cs="Arial"/>
        </w:rPr>
      </w:pPr>
      <w:r w:rsidRPr="00CA2890">
        <w:rPr>
          <w:rFonts w:asciiTheme="minorHAnsi" w:hAnsiTheme="minorHAnsi" w:cs="Arial"/>
        </w:rPr>
        <w:t>AND</w:t>
      </w:r>
    </w:p>
    <w:p w14:paraId="31D35594" w14:textId="77777777" w:rsidR="00CA2890" w:rsidRPr="00CA2890" w:rsidRDefault="00CA2890" w:rsidP="00CA2890">
      <w:pPr>
        <w:pBdr>
          <w:top w:val="single" w:sz="4" w:space="1" w:color="auto"/>
          <w:left w:val="single" w:sz="4" w:space="4" w:color="auto"/>
          <w:bottom w:val="single" w:sz="4" w:space="1" w:color="auto"/>
          <w:right w:val="single" w:sz="4" w:space="4" w:color="auto"/>
        </w:pBdr>
        <w:jc w:val="center"/>
        <w:rPr>
          <w:rFonts w:asciiTheme="minorHAnsi" w:hAnsiTheme="minorHAnsi" w:cs="Arial"/>
        </w:rPr>
      </w:pPr>
      <w:r w:rsidRPr="00CA2890">
        <w:rPr>
          <w:rFonts w:asciiTheme="minorHAnsi" w:hAnsiTheme="minorHAnsi" w:cs="Arial"/>
        </w:rPr>
        <w:t>Sustained clinical signs of hypoperfusion where volume resuscitation is deemed necessary prior to arrival at hospital</w:t>
      </w:r>
    </w:p>
    <w:p w14:paraId="1386EAC8" w14:textId="77777777" w:rsidR="00CA2890" w:rsidRPr="00CA2890" w:rsidRDefault="00CA2890" w:rsidP="00CA2890">
      <w:pPr>
        <w:jc w:val="both"/>
        <w:rPr>
          <w:rFonts w:asciiTheme="minorHAnsi" w:hAnsiTheme="minorHAnsi" w:cs="Arial"/>
        </w:rPr>
      </w:pPr>
    </w:p>
    <w:p w14:paraId="39E9B03B" w14:textId="77777777" w:rsidR="00CA2890" w:rsidRPr="00CA2890" w:rsidRDefault="00CA2890" w:rsidP="00CA2890">
      <w:pPr>
        <w:jc w:val="both"/>
        <w:rPr>
          <w:rFonts w:asciiTheme="minorHAnsi" w:hAnsiTheme="minorHAnsi" w:cs="Arial"/>
        </w:rPr>
      </w:pPr>
      <w:r w:rsidRPr="00CA2890">
        <w:rPr>
          <w:rFonts w:asciiTheme="minorHAnsi" w:hAnsiTheme="minorHAnsi" w:cs="Arial"/>
        </w:rPr>
        <w:t>Principles of permissive hypotension should be used. Caution is warranted when the patient has a penetrating injury with a single major vessel injury where existing blood clot is precariously achieving haemostasis. A SBP &lt;90mmHg is not an absolute indication for pre-hospital blood transfusion - if the GCS is 15 with a palpable radial pulse in a young patient then transfusion may not be necessary prior to arrival at hospital. Absolute haemodynamic thresholds for transfusion are difficult to quantify and should be considered on a case-by-case basis balanced with the risks of prolonged hypotension on subsequent multi-organ dysfunction.</w:t>
      </w:r>
    </w:p>
    <w:p w14:paraId="551A9C67" w14:textId="77777777" w:rsidR="00CA2890" w:rsidRPr="00CA2890" w:rsidRDefault="00CA2890" w:rsidP="00CA2890">
      <w:pPr>
        <w:jc w:val="both"/>
        <w:rPr>
          <w:rFonts w:asciiTheme="minorHAnsi" w:hAnsiTheme="minorHAnsi" w:cs="Arial"/>
        </w:rPr>
      </w:pPr>
    </w:p>
    <w:p w14:paraId="78EEF481" w14:textId="77777777" w:rsidR="00CA2890" w:rsidRPr="00CA2890" w:rsidRDefault="00CA2890" w:rsidP="00CA2890">
      <w:pPr>
        <w:jc w:val="both"/>
        <w:rPr>
          <w:rFonts w:asciiTheme="minorHAnsi" w:hAnsiTheme="minorHAnsi" w:cs="Arial"/>
        </w:rPr>
      </w:pPr>
      <w:r w:rsidRPr="00CA2890">
        <w:rPr>
          <w:rFonts w:asciiTheme="minorHAnsi" w:hAnsiTheme="minorHAnsi" w:cs="Arial"/>
        </w:rPr>
        <w:t xml:space="preserve">Caution should be taken in elderly patients who have less physiological reserves to cope with hypotension. Caution must also be made in interpreting signs of shock in pregnant patients and children who will compensate significantly before deterioration. </w:t>
      </w:r>
    </w:p>
    <w:p w14:paraId="0226F7F2" w14:textId="77777777" w:rsidR="00CA2890" w:rsidRPr="00CA2890" w:rsidRDefault="00CA2890" w:rsidP="00CA2890">
      <w:pPr>
        <w:jc w:val="both"/>
        <w:rPr>
          <w:rFonts w:asciiTheme="minorHAnsi" w:hAnsiTheme="minorHAnsi" w:cs="Arial"/>
        </w:rPr>
      </w:pPr>
      <w:r w:rsidRPr="00CA2890">
        <w:rPr>
          <w:rFonts w:asciiTheme="minorHAnsi" w:hAnsiTheme="minorHAnsi" w:cs="Arial"/>
        </w:rPr>
        <w:t>In the context of traumatic cardiac arrest, blood transfusion may be indicated early in resuscitation when hypovolaemia is judged to be a contributing factor.</w:t>
      </w:r>
    </w:p>
    <w:p w14:paraId="2C02B4CA" w14:textId="77777777" w:rsidR="00CA2890" w:rsidRPr="00CA2890" w:rsidRDefault="00CA2890" w:rsidP="00CA2890">
      <w:pPr>
        <w:pStyle w:val="ListParagraph"/>
        <w:jc w:val="both"/>
        <w:rPr>
          <w:rFonts w:asciiTheme="minorHAnsi" w:hAnsiTheme="minorHAnsi" w:cs="Arial"/>
        </w:rPr>
      </w:pPr>
    </w:p>
    <w:p w14:paraId="7EDE73DC" w14:textId="77777777" w:rsidR="00CA2890" w:rsidRPr="00CA2890" w:rsidRDefault="00CA2890" w:rsidP="00CA2890">
      <w:pPr>
        <w:jc w:val="both"/>
        <w:rPr>
          <w:rFonts w:asciiTheme="minorHAnsi" w:hAnsiTheme="minorHAnsi" w:cs="Arial"/>
          <w:b/>
        </w:rPr>
      </w:pPr>
    </w:p>
    <w:p w14:paraId="370FC4E5" w14:textId="77777777" w:rsidR="00CA2890" w:rsidRPr="00CA2890" w:rsidRDefault="00CA2890" w:rsidP="00CA2890">
      <w:pPr>
        <w:jc w:val="both"/>
        <w:rPr>
          <w:rFonts w:asciiTheme="minorHAnsi" w:hAnsiTheme="minorHAnsi" w:cs="Arial"/>
          <w:b/>
        </w:rPr>
      </w:pPr>
      <w:r w:rsidRPr="00CA2890">
        <w:rPr>
          <w:rFonts w:asciiTheme="minorHAnsi" w:hAnsiTheme="minorHAnsi" w:cs="Arial"/>
          <w:b/>
        </w:rPr>
        <w:t>Consent for blood transfusion</w:t>
      </w:r>
    </w:p>
    <w:p w14:paraId="73015656" w14:textId="77777777" w:rsidR="00CA2890" w:rsidRPr="00CA2890" w:rsidRDefault="00CA2890" w:rsidP="00CA2890">
      <w:pPr>
        <w:pStyle w:val="Default"/>
        <w:jc w:val="both"/>
        <w:rPr>
          <w:rFonts w:asciiTheme="minorHAnsi" w:hAnsiTheme="minorHAnsi"/>
        </w:rPr>
      </w:pPr>
      <w:r w:rsidRPr="00CA2890">
        <w:rPr>
          <w:rFonts w:asciiTheme="minorHAnsi" w:hAnsiTheme="minorHAnsi"/>
        </w:rPr>
        <w:t>National recommendations state that informed consent should be given prior to administering any blood transfusion. In the patient cohort receiving emergency pre-hospital blood transfusion it is highly unlikely they will be able to give informed consent and clinicians should act in the patient’s best interests. If the patient or relative would like further information, the following NHSBT patient information leaflets will be carried in the fluid warmer bag:</w:t>
      </w:r>
    </w:p>
    <w:p w14:paraId="155A1695" w14:textId="77777777" w:rsidR="00CA2890" w:rsidRPr="00CA2890" w:rsidRDefault="00CA2890" w:rsidP="00CA2890">
      <w:pPr>
        <w:pStyle w:val="Default"/>
        <w:jc w:val="both"/>
        <w:rPr>
          <w:rFonts w:asciiTheme="minorHAnsi" w:hAnsiTheme="minorHAnsi"/>
        </w:rPr>
      </w:pPr>
    </w:p>
    <w:p w14:paraId="3C2116FD" w14:textId="7D389619" w:rsidR="00CA2890" w:rsidRPr="00CA2890" w:rsidRDefault="00CA2890" w:rsidP="00CA2890">
      <w:pPr>
        <w:pStyle w:val="Default"/>
        <w:jc w:val="both"/>
        <w:rPr>
          <w:rFonts w:asciiTheme="minorHAnsi" w:hAnsiTheme="minorHAnsi"/>
        </w:rPr>
      </w:pPr>
      <w:r>
        <w:rPr>
          <w:rFonts w:asciiTheme="minorHAnsi" w:hAnsiTheme="minorHAnsi"/>
        </w:rPr>
        <w:t xml:space="preserve">NHSBT – </w:t>
      </w:r>
      <w:proofErr w:type="spellStart"/>
      <w:r>
        <w:rPr>
          <w:rFonts w:asciiTheme="minorHAnsi" w:hAnsiTheme="minorHAnsi"/>
        </w:rPr>
        <w:t>Rec</w:t>
      </w:r>
      <w:r w:rsidRPr="00CA2890">
        <w:rPr>
          <w:rFonts w:asciiTheme="minorHAnsi" w:hAnsiTheme="minorHAnsi"/>
        </w:rPr>
        <w:t>i</w:t>
      </w:r>
      <w:r>
        <w:rPr>
          <w:rFonts w:asciiTheme="minorHAnsi" w:hAnsiTheme="minorHAnsi"/>
        </w:rPr>
        <w:t>e</w:t>
      </w:r>
      <w:r w:rsidRPr="00CA2890">
        <w:rPr>
          <w:rFonts w:asciiTheme="minorHAnsi" w:hAnsiTheme="minorHAnsi"/>
        </w:rPr>
        <w:t>ving</w:t>
      </w:r>
      <w:proofErr w:type="spellEnd"/>
      <w:r w:rsidRPr="00CA2890">
        <w:rPr>
          <w:rFonts w:asciiTheme="minorHAnsi" w:hAnsiTheme="minorHAnsi"/>
        </w:rPr>
        <w:t xml:space="preserve"> a Blood Transfusion.</w:t>
      </w:r>
    </w:p>
    <w:p w14:paraId="5C7BBEFA" w14:textId="77777777" w:rsidR="00CA2890" w:rsidRPr="00CA2890" w:rsidRDefault="00DB0975" w:rsidP="00CA2890">
      <w:pPr>
        <w:pStyle w:val="Default"/>
        <w:jc w:val="both"/>
        <w:rPr>
          <w:rFonts w:asciiTheme="minorHAnsi" w:hAnsiTheme="minorHAnsi"/>
        </w:rPr>
      </w:pPr>
      <w:hyperlink r:id="rId7" w:history="1">
        <w:r w:rsidR="00CA2890" w:rsidRPr="00CA2890">
          <w:rPr>
            <w:rStyle w:val="Hyperlink"/>
            <w:rFonts w:asciiTheme="minorHAnsi" w:hAnsiTheme="minorHAnsi"/>
          </w:rPr>
          <w:t>https://nhsbtdbe.blob.core.windows.net/umbraco-assets-corp/23998/inf1580-1-receiving-a-blood-transfusion-print-friendly.pdf</w:t>
        </w:r>
      </w:hyperlink>
    </w:p>
    <w:p w14:paraId="125A5936" w14:textId="77777777" w:rsidR="00CA2890" w:rsidRPr="00CA2890" w:rsidRDefault="00CA2890" w:rsidP="00CA2890">
      <w:pPr>
        <w:pStyle w:val="Default"/>
        <w:jc w:val="both"/>
        <w:rPr>
          <w:rFonts w:asciiTheme="minorHAnsi" w:hAnsiTheme="minorHAnsi"/>
        </w:rPr>
      </w:pPr>
    </w:p>
    <w:p w14:paraId="2F1D1EAC" w14:textId="77777777" w:rsidR="00CA2890" w:rsidRPr="00CA2890" w:rsidRDefault="00CA2890" w:rsidP="00CA2890">
      <w:pPr>
        <w:rPr>
          <w:rStyle w:val="Hyperlink"/>
          <w:rFonts w:asciiTheme="minorHAnsi" w:hAnsiTheme="minorHAnsi"/>
          <w:i/>
          <w:iCs/>
        </w:rPr>
      </w:pPr>
      <w:r w:rsidRPr="00CA2890">
        <w:rPr>
          <w:rFonts w:asciiTheme="minorHAnsi" w:hAnsiTheme="minorHAnsi"/>
          <w:iCs/>
        </w:rPr>
        <w:t>NHSBT - Information for patients who have had an unexpected blood transfusion</w:t>
      </w:r>
      <w:r w:rsidRPr="00CA2890">
        <w:rPr>
          <w:rFonts w:asciiTheme="minorHAnsi" w:hAnsiTheme="minorHAnsi"/>
          <w:i/>
          <w:iCs/>
        </w:rPr>
        <w:t xml:space="preserve"> </w:t>
      </w:r>
      <w:hyperlink r:id="rId8" w:history="1">
        <w:r w:rsidRPr="00CA2890">
          <w:rPr>
            <w:rStyle w:val="Hyperlink"/>
            <w:rFonts w:asciiTheme="minorHAnsi" w:hAnsiTheme="minorHAnsi"/>
            <w:iCs/>
          </w:rPr>
          <w:t>https://nhsbtdbe.blob.core.windows.net/umbraco-assets-corp/14669/160915-27614-unexpected-transfusion-blc6991p-final.pdf</w:t>
        </w:r>
      </w:hyperlink>
    </w:p>
    <w:p w14:paraId="0B2E6CDA" w14:textId="77777777" w:rsidR="00CA2890" w:rsidRPr="00CA2890" w:rsidRDefault="00CA2890" w:rsidP="00CA2890">
      <w:pPr>
        <w:jc w:val="both"/>
        <w:rPr>
          <w:rFonts w:asciiTheme="minorHAnsi" w:hAnsiTheme="minorHAnsi" w:cs="Arial"/>
        </w:rPr>
      </w:pPr>
    </w:p>
    <w:p w14:paraId="0F129BCC" w14:textId="77777777" w:rsidR="00CA2890" w:rsidRPr="00CA2890" w:rsidRDefault="00CA2890" w:rsidP="00CA2890">
      <w:pPr>
        <w:jc w:val="both"/>
        <w:rPr>
          <w:rFonts w:asciiTheme="minorHAnsi" w:hAnsiTheme="minorHAnsi" w:cs="Arial"/>
        </w:rPr>
      </w:pPr>
    </w:p>
    <w:p w14:paraId="57EFA837" w14:textId="77777777" w:rsidR="00CA2890" w:rsidRPr="00CA2890" w:rsidRDefault="00CA2890" w:rsidP="00CA2890">
      <w:pPr>
        <w:jc w:val="both"/>
        <w:rPr>
          <w:rFonts w:asciiTheme="minorHAnsi" w:hAnsiTheme="minorHAnsi" w:cs="Arial"/>
          <w:b/>
          <w:szCs w:val="24"/>
        </w:rPr>
      </w:pPr>
      <w:r w:rsidRPr="00CA2890">
        <w:rPr>
          <w:rFonts w:asciiTheme="minorHAnsi" w:hAnsiTheme="minorHAnsi" w:cs="Arial"/>
          <w:b/>
          <w:szCs w:val="24"/>
        </w:rPr>
        <w:t xml:space="preserve">Carriage of blood components </w:t>
      </w:r>
    </w:p>
    <w:p w14:paraId="20152E48" w14:textId="77777777" w:rsidR="00CA2890" w:rsidRPr="00CA2890" w:rsidRDefault="00CA2890" w:rsidP="00CA2890">
      <w:pPr>
        <w:pStyle w:val="ListParagraph"/>
        <w:numPr>
          <w:ilvl w:val="0"/>
          <w:numId w:val="26"/>
        </w:numPr>
        <w:contextualSpacing/>
        <w:jc w:val="both"/>
        <w:rPr>
          <w:rFonts w:asciiTheme="minorHAnsi" w:hAnsiTheme="minorHAnsi" w:cs="Arial"/>
          <w:sz w:val="24"/>
          <w:szCs w:val="24"/>
        </w:rPr>
      </w:pPr>
      <w:r w:rsidRPr="00CA2890">
        <w:rPr>
          <w:rFonts w:asciiTheme="minorHAnsi" w:hAnsiTheme="minorHAnsi" w:cs="Arial"/>
          <w:sz w:val="24"/>
          <w:szCs w:val="24"/>
        </w:rPr>
        <w:t xml:space="preserve">TAAS will carry and administer blood components in accordance with NUH/UHCW policies and guidance. </w:t>
      </w:r>
    </w:p>
    <w:p w14:paraId="679D5400" w14:textId="77777777" w:rsidR="00CA2890" w:rsidRPr="00CA2890" w:rsidRDefault="00CA2890" w:rsidP="00CA2890">
      <w:pPr>
        <w:pStyle w:val="ListParagraph"/>
        <w:numPr>
          <w:ilvl w:val="0"/>
          <w:numId w:val="26"/>
        </w:numPr>
        <w:contextualSpacing/>
        <w:jc w:val="both"/>
        <w:rPr>
          <w:rFonts w:asciiTheme="minorHAnsi" w:hAnsiTheme="minorHAnsi" w:cs="Arial"/>
          <w:sz w:val="24"/>
          <w:szCs w:val="24"/>
        </w:rPr>
      </w:pPr>
      <w:r w:rsidRPr="00CA2890">
        <w:rPr>
          <w:rFonts w:asciiTheme="minorHAnsi" w:hAnsiTheme="minorHAnsi" w:cs="Arial"/>
          <w:sz w:val="24"/>
          <w:szCs w:val="24"/>
        </w:rPr>
        <w:t>2 units of Group O Rh (D) negative packed red blood cells (</w:t>
      </w:r>
      <w:proofErr w:type="spellStart"/>
      <w:r w:rsidRPr="00CA2890">
        <w:rPr>
          <w:rFonts w:asciiTheme="minorHAnsi" w:hAnsiTheme="minorHAnsi" w:cs="Arial"/>
          <w:sz w:val="24"/>
          <w:szCs w:val="24"/>
        </w:rPr>
        <w:t>pRBC</w:t>
      </w:r>
      <w:proofErr w:type="spellEnd"/>
      <w:r w:rsidRPr="00CA2890">
        <w:rPr>
          <w:rFonts w:asciiTheme="minorHAnsi" w:hAnsiTheme="minorHAnsi" w:cs="Arial"/>
          <w:sz w:val="24"/>
          <w:szCs w:val="24"/>
        </w:rPr>
        <w:t xml:space="preserve">) and 2 units of thawed fresh frozen plasma (FFP) Group AB or A will be carried in a 2 </w:t>
      </w:r>
      <w:proofErr w:type="spellStart"/>
      <w:r w:rsidRPr="00CA2890">
        <w:rPr>
          <w:rFonts w:asciiTheme="minorHAnsi" w:hAnsiTheme="minorHAnsi" w:cs="Arial"/>
          <w:sz w:val="24"/>
          <w:szCs w:val="24"/>
        </w:rPr>
        <w:t>litre</w:t>
      </w:r>
      <w:proofErr w:type="spellEnd"/>
      <w:r w:rsidRPr="00CA2890">
        <w:rPr>
          <w:rFonts w:asciiTheme="minorHAnsi" w:hAnsiTheme="minorHAnsi" w:cs="Arial"/>
          <w:sz w:val="24"/>
          <w:szCs w:val="24"/>
        </w:rPr>
        <w:t xml:space="preserve"> Series 4 Credo box with a data logger and transfusion record sheet (TRS) paperwork.</w:t>
      </w:r>
    </w:p>
    <w:p w14:paraId="19AC67A8" w14:textId="77777777" w:rsidR="00CA2890" w:rsidRDefault="00CA2890" w:rsidP="00CA2890">
      <w:pPr>
        <w:pStyle w:val="ListParagraph"/>
        <w:numPr>
          <w:ilvl w:val="0"/>
          <w:numId w:val="26"/>
        </w:numPr>
        <w:contextualSpacing/>
        <w:jc w:val="both"/>
        <w:rPr>
          <w:rFonts w:asciiTheme="minorHAnsi" w:hAnsiTheme="minorHAnsi" w:cs="Arial"/>
          <w:sz w:val="24"/>
          <w:szCs w:val="24"/>
        </w:rPr>
      </w:pPr>
      <w:r w:rsidRPr="00CA2890">
        <w:rPr>
          <w:rFonts w:asciiTheme="minorHAnsi" w:hAnsiTheme="minorHAnsi" w:cs="Arial"/>
          <w:sz w:val="24"/>
          <w:szCs w:val="24"/>
        </w:rPr>
        <w:t xml:space="preserve">QMC will provide boxes 1-4 on rotation and UHCW will provide boxes 5-8 on rotation. Spare boxes labeled 9-10 are stored at Coventry airbase if required. </w:t>
      </w:r>
    </w:p>
    <w:p w14:paraId="55081FED" w14:textId="77777777" w:rsidR="001D48D6" w:rsidRPr="00CA2890" w:rsidRDefault="001D48D6" w:rsidP="001D48D6">
      <w:pPr>
        <w:pStyle w:val="ListParagraph"/>
        <w:contextualSpacing/>
        <w:jc w:val="both"/>
        <w:rPr>
          <w:rFonts w:asciiTheme="minorHAnsi" w:hAnsiTheme="minorHAnsi" w:cs="Arial"/>
          <w:sz w:val="24"/>
          <w:szCs w:val="24"/>
        </w:rPr>
      </w:pPr>
    </w:p>
    <w:p w14:paraId="061161D7" w14:textId="77777777" w:rsidR="00CA2890" w:rsidRDefault="00CA2890" w:rsidP="00CA2890">
      <w:pPr>
        <w:pStyle w:val="ListParagraph"/>
        <w:numPr>
          <w:ilvl w:val="0"/>
          <w:numId w:val="26"/>
        </w:numPr>
        <w:contextualSpacing/>
        <w:jc w:val="both"/>
        <w:rPr>
          <w:rFonts w:asciiTheme="minorHAnsi" w:hAnsiTheme="minorHAnsi" w:cs="Arial"/>
          <w:sz w:val="24"/>
          <w:szCs w:val="24"/>
        </w:rPr>
      </w:pPr>
      <w:r w:rsidRPr="00CA2890">
        <w:rPr>
          <w:rFonts w:asciiTheme="minorHAnsi" w:hAnsiTheme="minorHAnsi" w:cs="Arial"/>
          <w:sz w:val="24"/>
          <w:szCs w:val="24"/>
        </w:rPr>
        <w:t xml:space="preserve">The blood transport box will be packed in the order so that the first component to be removed from the box is FFP, followed by </w:t>
      </w:r>
      <w:proofErr w:type="spellStart"/>
      <w:r w:rsidRPr="00CA2890">
        <w:rPr>
          <w:rFonts w:asciiTheme="minorHAnsi" w:hAnsiTheme="minorHAnsi" w:cs="Arial"/>
          <w:sz w:val="24"/>
          <w:szCs w:val="24"/>
        </w:rPr>
        <w:t>pRBC</w:t>
      </w:r>
      <w:proofErr w:type="spellEnd"/>
      <w:r w:rsidRPr="00CA2890">
        <w:rPr>
          <w:rFonts w:asciiTheme="minorHAnsi" w:hAnsiTheme="minorHAnsi" w:cs="Arial"/>
          <w:sz w:val="24"/>
          <w:szCs w:val="24"/>
        </w:rPr>
        <w:t xml:space="preserve">, then FFP, then </w:t>
      </w:r>
      <w:proofErr w:type="spellStart"/>
      <w:r w:rsidRPr="00CA2890">
        <w:rPr>
          <w:rFonts w:asciiTheme="minorHAnsi" w:hAnsiTheme="minorHAnsi" w:cs="Arial"/>
          <w:sz w:val="24"/>
          <w:szCs w:val="24"/>
        </w:rPr>
        <w:t>pRBC</w:t>
      </w:r>
      <w:proofErr w:type="spellEnd"/>
      <w:r w:rsidRPr="00CA2890">
        <w:rPr>
          <w:rFonts w:asciiTheme="minorHAnsi" w:hAnsiTheme="minorHAnsi" w:cs="Arial"/>
          <w:sz w:val="24"/>
          <w:szCs w:val="24"/>
        </w:rPr>
        <w:t>.</w:t>
      </w:r>
    </w:p>
    <w:p w14:paraId="33BDA3EF" w14:textId="77777777" w:rsidR="001D48D6" w:rsidRPr="001D48D6" w:rsidRDefault="001D48D6" w:rsidP="001D48D6">
      <w:pPr>
        <w:contextualSpacing/>
        <w:jc w:val="both"/>
        <w:rPr>
          <w:rFonts w:asciiTheme="minorHAnsi" w:hAnsiTheme="minorHAnsi" w:cs="Arial"/>
          <w:szCs w:val="24"/>
        </w:rPr>
      </w:pPr>
    </w:p>
    <w:p w14:paraId="63E3255C" w14:textId="77777777" w:rsidR="00CA2890" w:rsidRDefault="00CA2890" w:rsidP="00CA2890">
      <w:pPr>
        <w:pStyle w:val="ListParagraph"/>
        <w:numPr>
          <w:ilvl w:val="0"/>
          <w:numId w:val="26"/>
        </w:numPr>
        <w:contextualSpacing/>
        <w:jc w:val="both"/>
        <w:rPr>
          <w:rFonts w:asciiTheme="minorHAnsi" w:hAnsiTheme="minorHAnsi" w:cs="Arial"/>
          <w:sz w:val="24"/>
          <w:szCs w:val="24"/>
        </w:rPr>
      </w:pPr>
      <w:r w:rsidRPr="00CA2890">
        <w:rPr>
          <w:rFonts w:asciiTheme="minorHAnsi" w:hAnsiTheme="minorHAnsi" w:cs="Arial"/>
          <w:sz w:val="24"/>
          <w:szCs w:val="24"/>
        </w:rPr>
        <w:t>The boxes will maintain a temp of 2-8 degrees for up to 47 hours if unopened.</w:t>
      </w:r>
    </w:p>
    <w:p w14:paraId="2EF0C27D" w14:textId="77777777" w:rsidR="001D48D6" w:rsidRPr="001D48D6" w:rsidRDefault="001D48D6" w:rsidP="001D48D6">
      <w:pPr>
        <w:contextualSpacing/>
        <w:jc w:val="both"/>
        <w:rPr>
          <w:rFonts w:asciiTheme="minorHAnsi" w:hAnsiTheme="minorHAnsi" w:cs="Arial"/>
          <w:szCs w:val="24"/>
        </w:rPr>
      </w:pPr>
    </w:p>
    <w:p w14:paraId="1C1D135D" w14:textId="77777777" w:rsidR="00CA2890" w:rsidRDefault="00CA2890" w:rsidP="00CA2890">
      <w:pPr>
        <w:pStyle w:val="ListParagraph"/>
        <w:numPr>
          <w:ilvl w:val="0"/>
          <w:numId w:val="26"/>
        </w:numPr>
        <w:contextualSpacing/>
        <w:jc w:val="both"/>
        <w:rPr>
          <w:rFonts w:asciiTheme="minorHAnsi" w:hAnsiTheme="minorHAnsi" w:cs="Arial"/>
          <w:sz w:val="24"/>
          <w:szCs w:val="24"/>
        </w:rPr>
      </w:pPr>
      <w:r w:rsidRPr="00CA2890">
        <w:rPr>
          <w:rFonts w:asciiTheme="minorHAnsi" w:hAnsiTheme="minorHAnsi" w:cs="Arial"/>
          <w:sz w:val="24"/>
          <w:szCs w:val="24"/>
        </w:rPr>
        <w:t xml:space="preserve">The blood transport box must only be opened when the decision has been made to transfuse blood components. A maximum of 1 </w:t>
      </w:r>
      <w:proofErr w:type="spellStart"/>
      <w:r w:rsidRPr="00CA2890">
        <w:rPr>
          <w:rFonts w:asciiTheme="minorHAnsi" w:hAnsiTheme="minorHAnsi" w:cs="Arial"/>
          <w:sz w:val="24"/>
          <w:szCs w:val="24"/>
        </w:rPr>
        <w:t>pRBC</w:t>
      </w:r>
      <w:proofErr w:type="spellEnd"/>
      <w:r w:rsidRPr="00CA2890">
        <w:rPr>
          <w:rFonts w:asciiTheme="minorHAnsi" w:hAnsiTheme="minorHAnsi" w:cs="Arial"/>
          <w:sz w:val="24"/>
          <w:szCs w:val="24"/>
        </w:rPr>
        <w:t xml:space="preserve"> and 1 FFP can be removed and the lid closed </w:t>
      </w:r>
      <w:r w:rsidRPr="00CA2890">
        <w:rPr>
          <w:rFonts w:asciiTheme="minorHAnsi" w:hAnsiTheme="minorHAnsi" w:cs="Arial"/>
          <w:b/>
          <w:bCs/>
          <w:sz w:val="24"/>
          <w:szCs w:val="24"/>
        </w:rPr>
        <w:t>immediately</w:t>
      </w:r>
      <w:r w:rsidRPr="00CA2890">
        <w:rPr>
          <w:rFonts w:asciiTheme="minorHAnsi" w:hAnsiTheme="minorHAnsi" w:cs="Arial"/>
          <w:sz w:val="24"/>
          <w:szCs w:val="24"/>
        </w:rPr>
        <w:t xml:space="preserve"> to maintain the temperature of the transport box for the remaining units. </w:t>
      </w:r>
    </w:p>
    <w:p w14:paraId="2C7BE86F" w14:textId="77777777" w:rsidR="001D48D6" w:rsidRPr="00CA2890" w:rsidRDefault="001D48D6" w:rsidP="001D48D6">
      <w:pPr>
        <w:pStyle w:val="ListParagraph"/>
        <w:contextualSpacing/>
        <w:jc w:val="both"/>
        <w:rPr>
          <w:rFonts w:asciiTheme="minorHAnsi" w:hAnsiTheme="minorHAnsi" w:cs="Arial"/>
          <w:sz w:val="24"/>
          <w:szCs w:val="24"/>
        </w:rPr>
      </w:pPr>
    </w:p>
    <w:p w14:paraId="227CA191" w14:textId="77777777" w:rsidR="00CA2890" w:rsidRPr="001D48D6" w:rsidRDefault="00CA2890" w:rsidP="00CA2890">
      <w:pPr>
        <w:pStyle w:val="ListParagraph"/>
        <w:numPr>
          <w:ilvl w:val="0"/>
          <w:numId w:val="26"/>
        </w:numPr>
        <w:contextualSpacing/>
        <w:jc w:val="both"/>
        <w:rPr>
          <w:rFonts w:asciiTheme="minorHAnsi" w:hAnsiTheme="minorHAnsi" w:cstheme="majorHAnsi"/>
          <w:sz w:val="24"/>
          <w:szCs w:val="24"/>
        </w:rPr>
      </w:pPr>
      <w:r w:rsidRPr="00CA2890">
        <w:rPr>
          <w:rFonts w:asciiTheme="minorHAnsi" w:hAnsiTheme="minorHAnsi" w:cstheme="majorHAnsi"/>
          <w:sz w:val="24"/>
          <w:szCs w:val="24"/>
          <w:lang w:val="en-GB"/>
        </w:rPr>
        <w:t>In total the blood transport box can be opened briefly on 3 separate occasions whilst maintaining a steady state temperature. The box can only be opened for a 4th time if the final unit is being removed for transfusion. Opening the box outside of this validated schedule will compromise the cold chain and result in wastage of any returned blood components to the BTL.</w:t>
      </w:r>
    </w:p>
    <w:p w14:paraId="2890BBFF" w14:textId="77777777" w:rsidR="001D48D6" w:rsidRPr="001D48D6" w:rsidRDefault="001D48D6" w:rsidP="001D48D6">
      <w:pPr>
        <w:contextualSpacing/>
        <w:jc w:val="both"/>
        <w:rPr>
          <w:rFonts w:asciiTheme="minorHAnsi" w:hAnsiTheme="minorHAnsi" w:cstheme="majorHAnsi"/>
          <w:szCs w:val="24"/>
        </w:rPr>
      </w:pPr>
    </w:p>
    <w:p w14:paraId="224EF5CB" w14:textId="2A7A2F78" w:rsidR="00CA2890" w:rsidRPr="00CA2890" w:rsidRDefault="00CA2890" w:rsidP="00CA2890">
      <w:pPr>
        <w:pStyle w:val="ListParagraph"/>
        <w:numPr>
          <w:ilvl w:val="0"/>
          <w:numId w:val="26"/>
        </w:numPr>
        <w:contextualSpacing/>
        <w:rPr>
          <w:rFonts w:asciiTheme="minorHAnsi" w:hAnsiTheme="minorHAnsi" w:cstheme="majorHAnsi"/>
          <w:bCs/>
          <w:sz w:val="24"/>
          <w:szCs w:val="24"/>
        </w:rPr>
      </w:pPr>
      <w:r w:rsidRPr="00CA2890">
        <w:rPr>
          <w:rFonts w:asciiTheme="minorHAnsi" w:hAnsiTheme="minorHAnsi" w:cstheme="majorHAnsi"/>
          <w:bCs/>
          <w:sz w:val="24"/>
          <w:szCs w:val="24"/>
        </w:rPr>
        <w:t>At a scene wit</w:t>
      </w:r>
      <w:r w:rsidR="001D48D6">
        <w:rPr>
          <w:rFonts w:asciiTheme="minorHAnsi" w:hAnsiTheme="minorHAnsi" w:cstheme="majorHAnsi"/>
          <w:bCs/>
          <w:sz w:val="24"/>
          <w:szCs w:val="24"/>
        </w:rPr>
        <w:t xml:space="preserve">h multiple patients, the blood </w:t>
      </w:r>
      <w:r w:rsidRPr="00CA2890">
        <w:rPr>
          <w:rFonts w:asciiTheme="minorHAnsi" w:hAnsiTheme="minorHAnsi" w:cstheme="majorHAnsi"/>
          <w:bCs/>
          <w:sz w:val="24"/>
          <w:szCs w:val="24"/>
        </w:rPr>
        <w:t>components in the box can be administered to more than one patient. However traceability of each unit to the correct patient is essential, and each patient will require a fully completed TRS with the correct unit numbers allocated.</w:t>
      </w:r>
    </w:p>
    <w:p w14:paraId="4A38367A" w14:textId="77777777" w:rsidR="00CA2890" w:rsidRPr="00CA2890" w:rsidRDefault="00CA2890" w:rsidP="00CA2890">
      <w:pPr>
        <w:pStyle w:val="ListParagraph"/>
        <w:rPr>
          <w:rFonts w:asciiTheme="minorHAnsi" w:hAnsiTheme="minorHAnsi" w:cstheme="majorHAnsi"/>
          <w:bCs/>
          <w:sz w:val="24"/>
          <w:szCs w:val="24"/>
        </w:rPr>
      </w:pPr>
    </w:p>
    <w:p w14:paraId="698EB5F8" w14:textId="77777777" w:rsidR="00CA2890" w:rsidRPr="00CA2890" w:rsidRDefault="00CA2890" w:rsidP="00CA2890">
      <w:pPr>
        <w:pStyle w:val="ListParagraph"/>
        <w:numPr>
          <w:ilvl w:val="0"/>
          <w:numId w:val="26"/>
        </w:numPr>
        <w:contextualSpacing/>
        <w:rPr>
          <w:rFonts w:asciiTheme="minorHAnsi" w:hAnsiTheme="minorHAnsi" w:cstheme="majorHAnsi"/>
          <w:bCs/>
          <w:sz w:val="24"/>
          <w:szCs w:val="24"/>
        </w:rPr>
      </w:pPr>
      <w:r w:rsidRPr="001D48D6">
        <w:rPr>
          <w:rFonts w:asciiTheme="minorHAnsi" w:hAnsiTheme="minorHAnsi" w:cstheme="majorHAnsi"/>
          <w:b/>
          <w:bCs/>
          <w:sz w:val="24"/>
          <w:szCs w:val="24"/>
        </w:rPr>
        <w:t>Once the blood transport box has been opened for a mission, it CANNOT be used again for a further tasking later in the duty period.</w:t>
      </w:r>
      <w:r w:rsidRPr="00CA2890">
        <w:rPr>
          <w:rFonts w:asciiTheme="minorHAnsi" w:hAnsiTheme="minorHAnsi" w:cstheme="majorHAnsi"/>
          <w:bCs/>
          <w:sz w:val="24"/>
          <w:szCs w:val="24"/>
        </w:rPr>
        <w:t xml:space="preserve"> The box must remain sealed with the completed paperwork, and returned to the issuing BTL at the pre-agreed box handover times for each base.</w:t>
      </w:r>
    </w:p>
    <w:p w14:paraId="22E7C828" w14:textId="77777777" w:rsidR="00CA2890" w:rsidRPr="00CA2890" w:rsidRDefault="00CA2890" w:rsidP="00CA2890">
      <w:pPr>
        <w:rPr>
          <w:rFonts w:asciiTheme="minorHAnsi" w:hAnsiTheme="minorHAnsi" w:cstheme="majorHAnsi"/>
          <w:bCs/>
          <w:szCs w:val="24"/>
        </w:rPr>
      </w:pPr>
    </w:p>
    <w:p w14:paraId="30F670F0" w14:textId="77777777" w:rsidR="00CA2890" w:rsidRPr="00CA2890" w:rsidRDefault="00CA2890" w:rsidP="00CA2890">
      <w:pPr>
        <w:pStyle w:val="ListParagraph"/>
        <w:numPr>
          <w:ilvl w:val="0"/>
          <w:numId w:val="26"/>
        </w:numPr>
        <w:contextualSpacing/>
        <w:jc w:val="both"/>
        <w:rPr>
          <w:rFonts w:asciiTheme="minorHAnsi" w:hAnsiTheme="minorHAnsi" w:cs="Arial"/>
          <w:sz w:val="24"/>
          <w:szCs w:val="24"/>
        </w:rPr>
      </w:pPr>
      <w:r w:rsidRPr="00CA2890">
        <w:rPr>
          <w:rFonts w:asciiTheme="minorHAnsi" w:hAnsiTheme="minorHAnsi" w:cs="Arial"/>
          <w:sz w:val="24"/>
          <w:szCs w:val="24"/>
        </w:rPr>
        <w:t>TAAS crew should consider from the available dispatch information whether to take blood to scene from the aircraft/car.</w:t>
      </w:r>
    </w:p>
    <w:p w14:paraId="795768D2" w14:textId="77777777" w:rsidR="00CA2890" w:rsidRPr="00CA2890" w:rsidRDefault="00CA2890" w:rsidP="00CA2890">
      <w:pPr>
        <w:pStyle w:val="ListParagraph"/>
        <w:numPr>
          <w:ilvl w:val="0"/>
          <w:numId w:val="26"/>
        </w:numPr>
        <w:contextualSpacing/>
        <w:rPr>
          <w:rStyle w:val="Hyperlink"/>
          <w:rFonts w:asciiTheme="minorHAnsi" w:hAnsiTheme="minorHAnsi" w:cs="Arial"/>
          <w:color w:val="000000"/>
          <w:sz w:val="24"/>
          <w:szCs w:val="24"/>
          <w:u w:val="none"/>
        </w:rPr>
      </w:pPr>
      <w:r w:rsidRPr="00CA2890">
        <w:rPr>
          <w:rFonts w:asciiTheme="minorHAnsi" w:hAnsiTheme="minorHAnsi" w:cs="Arial"/>
          <w:sz w:val="24"/>
          <w:szCs w:val="24"/>
        </w:rPr>
        <w:t>If further blood units are required (</w:t>
      </w:r>
      <w:proofErr w:type="spellStart"/>
      <w:r w:rsidRPr="00CA2890">
        <w:rPr>
          <w:rFonts w:asciiTheme="minorHAnsi" w:hAnsiTheme="minorHAnsi" w:cs="Arial"/>
          <w:sz w:val="24"/>
          <w:szCs w:val="24"/>
        </w:rPr>
        <w:t>eg</w:t>
      </w:r>
      <w:proofErr w:type="spellEnd"/>
      <w:r w:rsidRPr="00CA2890">
        <w:rPr>
          <w:rFonts w:asciiTheme="minorHAnsi" w:hAnsiTheme="minorHAnsi" w:cs="Arial"/>
          <w:sz w:val="24"/>
          <w:szCs w:val="24"/>
        </w:rPr>
        <w:t xml:space="preserve"> trapped patients who exceed four units) TAAS crews should consider requesting further air ambulance assets for support via ambulance control or enacting the trauma network ‘Blood to Scene’ protocols: </w:t>
      </w:r>
      <w:hyperlink r:id="rId9" w:history="1">
        <w:r w:rsidRPr="00CA2890">
          <w:rPr>
            <w:rStyle w:val="Hyperlink"/>
            <w:rFonts w:asciiTheme="minorHAnsi" w:hAnsiTheme="minorHAnsi" w:cs="Arial"/>
            <w:sz w:val="24"/>
            <w:szCs w:val="24"/>
          </w:rPr>
          <w:t>https://nebula.wsimg.com/141b38a7c1732214e34c0228394b3385?AccessKeyId=71C7B1EA5618F4C499E1&amp;disposition=0&amp;alloworigin=1</w:t>
        </w:r>
      </w:hyperlink>
    </w:p>
    <w:p w14:paraId="7EE33F61" w14:textId="77777777" w:rsidR="00CA2890" w:rsidRPr="00CA2890" w:rsidRDefault="00CA2890" w:rsidP="00CA2890">
      <w:pPr>
        <w:pStyle w:val="ListParagraph"/>
        <w:contextualSpacing/>
        <w:rPr>
          <w:rFonts w:asciiTheme="minorHAnsi" w:hAnsiTheme="minorHAnsi" w:cs="Arial"/>
          <w:sz w:val="24"/>
          <w:szCs w:val="24"/>
        </w:rPr>
      </w:pPr>
    </w:p>
    <w:p w14:paraId="295D44FD" w14:textId="77777777" w:rsidR="00CA2890" w:rsidRDefault="00CA2890" w:rsidP="00CA2890">
      <w:pPr>
        <w:pStyle w:val="ListParagraph"/>
        <w:numPr>
          <w:ilvl w:val="0"/>
          <w:numId w:val="26"/>
        </w:numPr>
        <w:contextualSpacing/>
        <w:jc w:val="both"/>
        <w:rPr>
          <w:rFonts w:asciiTheme="minorHAnsi" w:hAnsiTheme="minorHAnsi" w:cs="Arial"/>
          <w:sz w:val="24"/>
          <w:szCs w:val="24"/>
        </w:rPr>
      </w:pPr>
      <w:r w:rsidRPr="00CA2890">
        <w:rPr>
          <w:rFonts w:asciiTheme="minorHAnsi" w:hAnsiTheme="minorHAnsi" w:cs="Arial"/>
          <w:sz w:val="24"/>
          <w:szCs w:val="24"/>
        </w:rPr>
        <w:t>To maintain a continuous supply and avoiding wastage of blood components, blood transport boxes should be returned to the distributing blood transfusion laboratory (BTL) every 24 hours for repacking. If the Blood Bike service is not available, or the crew are out with the box at the time of collection, the duty crew are responsible for returning the box to the distributing BTL by a maximum of 30 hours after original delivery.</w:t>
      </w:r>
    </w:p>
    <w:p w14:paraId="7FD76FCC" w14:textId="77777777" w:rsidR="001D48D6" w:rsidRPr="001D48D6" w:rsidRDefault="001D48D6" w:rsidP="001D48D6">
      <w:pPr>
        <w:contextualSpacing/>
        <w:jc w:val="both"/>
        <w:rPr>
          <w:rFonts w:asciiTheme="minorHAnsi" w:hAnsiTheme="minorHAnsi" w:cs="Arial"/>
          <w:szCs w:val="24"/>
        </w:rPr>
      </w:pPr>
    </w:p>
    <w:p w14:paraId="7A2C6BC2" w14:textId="77777777" w:rsidR="00CA2890" w:rsidRDefault="00CA2890" w:rsidP="00CA2890">
      <w:pPr>
        <w:pStyle w:val="ListParagraph"/>
        <w:numPr>
          <w:ilvl w:val="0"/>
          <w:numId w:val="26"/>
        </w:numPr>
        <w:contextualSpacing/>
        <w:jc w:val="both"/>
        <w:rPr>
          <w:rFonts w:asciiTheme="minorHAnsi" w:hAnsiTheme="minorHAnsi" w:cs="Arial"/>
          <w:sz w:val="24"/>
          <w:szCs w:val="24"/>
        </w:rPr>
      </w:pPr>
      <w:r w:rsidRPr="00CA2890">
        <w:rPr>
          <w:rFonts w:asciiTheme="minorHAnsi" w:hAnsiTheme="minorHAnsi" w:cs="Arial"/>
          <w:sz w:val="24"/>
          <w:szCs w:val="24"/>
        </w:rPr>
        <w:t xml:space="preserve">There is currently no service to provide ‘hot repacking’ if blood components have been used before the planned restocking time. </w:t>
      </w:r>
    </w:p>
    <w:p w14:paraId="0211EED1" w14:textId="77777777" w:rsidR="001D48D6" w:rsidRPr="001D48D6" w:rsidRDefault="001D48D6" w:rsidP="001D48D6">
      <w:pPr>
        <w:contextualSpacing/>
        <w:jc w:val="both"/>
        <w:rPr>
          <w:rFonts w:asciiTheme="minorHAnsi" w:hAnsiTheme="minorHAnsi" w:cs="Arial"/>
          <w:szCs w:val="24"/>
        </w:rPr>
      </w:pPr>
    </w:p>
    <w:p w14:paraId="152EE71E" w14:textId="77777777" w:rsidR="00CA2890" w:rsidRPr="00CA2890" w:rsidRDefault="00CA2890" w:rsidP="00CA2890">
      <w:pPr>
        <w:pStyle w:val="ListParagraph"/>
        <w:numPr>
          <w:ilvl w:val="0"/>
          <w:numId w:val="26"/>
        </w:numPr>
        <w:contextualSpacing/>
        <w:jc w:val="both"/>
        <w:rPr>
          <w:rFonts w:asciiTheme="minorHAnsi" w:hAnsiTheme="minorHAnsi" w:cs="Arial"/>
          <w:sz w:val="24"/>
          <w:szCs w:val="24"/>
        </w:rPr>
      </w:pPr>
      <w:r w:rsidRPr="00CA2890">
        <w:rPr>
          <w:rFonts w:asciiTheme="minorHAnsi" w:hAnsiTheme="minorHAnsi" w:cs="Arial"/>
          <w:sz w:val="24"/>
          <w:szCs w:val="24"/>
        </w:rPr>
        <w:t>The Box Tracking form (Appendix 1) needs completion by BTL, blood bikes and the duty TAAS crew each time the box is handed over from one team member to the next.</w:t>
      </w:r>
    </w:p>
    <w:p w14:paraId="1A2D31A7" w14:textId="77777777" w:rsidR="00CA2890" w:rsidRPr="00CA2890" w:rsidRDefault="00CA2890" w:rsidP="00CA2890">
      <w:pPr>
        <w:jc w:val="both"/>
        <w:rPr>
          <w:rFonts w:asciiTheme="minorHAnsi" w:hAnsiTheme="minorHAnsi" w:cs="Arial"/>
          <w:szCs w:val="24"/>
        </w:rPr>
      </w:pPr>
    </w:p>
    <w:p w14:paraId="52D68B30" w14:textId="77777777" w:rsidR="00CA2890" w:rsidRDefault="00CA2890" w:rsidP="00CA2890">
      <w:pPr>
        <w:jc w:val="both"/>
        <w:rPr>
          <w:rFonts w:asciiTheme="minorHAnsi" w:hAnsiTheme="minorHAnsi" w:cs="Arial"/>
          <w:b/>
          <w:szCs w:val="24"/>
        </w:rPr>
      </w:pPr>
      <w:r w:rsidRPr="00CA2890">
        <w:rPr>
          <w:rFonts w:asciiTheme="minorHAnsi" w:hAnsiTheme="minorHAnsi" w:cs="Arial"/>
          <w:b/>
          <w:szCs w:val="24"/>
        </w:rPr>
        <w:t>Administration of blood components</w:t>
      </w:r>
    </w:p>
    <w:p w14:paraId="4A5DC818" w14:textId="77777777" w:rsidR="001D48D6" w:rsidRPr="00CA2890" w:rsidRDefault="001D48D6" w:rsidP="00CA2890">
      <w:pPr>
        <w:jc w:val="both"/>
        <w:rPr>
          <w:rFonts w:asciiTheme="minorHAnsi" w:hAnsiTheme="minorHAnsi" w:cs="Arial"/>
          <w:b/>
          <w:szCs w:val="24"/>
        </w:rPr>
      </w:pPr>
    </w:p>
    <w:p w14:paraId="0BA6A122" w14:textId="77777777" w:rsidR="00CA2890" w:rsidRDefault="00CA2890" w:rsidP="00CA2890">
      <w:pPr>
        <w:pStyle w:val="ListParagraph"/>
        <w:numPr>
          <w:ilvl w:val="0"/>
          <w:numId w:val="22"/>
        </w:numPr>
        <w:contextualSpacing/>
        <w:jc w:val="both"/>
        <w:rPr>
          <w:rFonts w:asciiTheme="minorHAnsi" w:hAnsiTheme="minorHAnsi" w:cs="Arial"/>
          <w:sz w:val="24"/>
          <w:szCs w:val="24"/>
        </w:rPr>
      </w:pPr>
      <w:r w:rsidRPr="00CA2890">
        <w:rPr>
          <w:rFonts w:asciiTheme="minorHAnsi" w:hAnsiTheme="minorHAnsi" w:cs="Arial"/>
          <w:sz w:val="24"/>
          <w:szCs w:val="24"/>
        </w:rPr>
        <w:t>Pre-transfusion bloods will not be necessary before pre-hospital blood administration. After transfusion of 4 units of pre-hospital blood components, the blood type of the patient will still be detectable. There are significant risks of bringing pre-hospital unlabeled blood bottles in with the patient.</w:t>
      </w:r>
    </w:p>
    <w:p w14:paraId="0AD20DD3" w14:textId="77777777" w:rsidR="001D48D6" w:rsidRPr="00CA2890" w:rsidRDefault="001D48D6" w:rsidP="001D48D6">
      <w:pPr>
        <w:pStyle w:val="ListParagraph"/>
        <w:contextualSpacing/>
        <w:jc w:val="both"/>
        <w:rPr>
          <w:rFonts w:asciiTheme="minorHAnsi" w:hAnsiTheme="minorHAnsi" w:cs="Arial"/>
          <w:sz w:val="24"/>
          <w:szCs w:val="24"/>
        </w:rPr>
      </w:pPr>
    </w:p>
    <w:p w14:paraId="12805006" w14:textId="77777777" w:rsidR="00CA2890" w:rsidRDefault="00CA2890" w:rsidP="00CA2890">
      <w:pPr>
        <w:pStyle w:val="ListParagraph"/>
        <w:numPr>
          <w:ilvl w:val="0"/>
          <w:numId w:val="22"/>
        </w:numPr>
        <w:contextualSpacing/>
        <w:jc w:val="both"/>
        <w:rPr>
          <w:rFonts w:asciiTheme="minorHAnsi" w:hAnsiTheme="minorHAnsi" w:cs="Arial"/>
          <w:sz w:val="24"/>
          <w:szCs w:val="24"/>
        </w:rPr>
      </w:pPr>
      <w:r w:rsidRPr="00CA2890">
        <w:rPr>
          <w:rFonts w:asciiTheme="minorHAnsi" w:hAnsiTheme="minorHAnsi" w:cs="Arial"/>
          <w:sz w:val="24"/>
          <w:szCs w:val="24"/>
        </w:rPr>
        <w:t xml:space="preserve">There are no age or sex restrictions for the blood components carried by TAAS. </w:t>
      </w:r>
    </w:p>
    <w:p w14:paraId="3769079B" w14:textId="77777777" w:rsidR="001D48D6" w:rsidRPr="001D48D6" w:rsidRDefault="001D48D6" w:rsidP="001D48D6">
      <w:pPr>
        <w:contextualSpacing/>
        <w:jc w:val="both"/>
        <w:rPr>
          <w:rFonts w:asciiTheme="minorHAnsi" w:hAnsiTheme="minorHAnsi" w:cs="Arial"/>
          <w:szCs w:val="24"/>
        </w:rPr>
      </w:pPr>
    </w:p>
    <w:p w14:paraId="5F8AB245" w14:textId="77777777" w:rsidR="00CA2890" w:rsidRDefault="00CA2890" w:rsidP="00CA2890">
      <w:pPr>
        <w:pStyle w:val="ListParagraph"/>
        <w:numPr>
          <w:ilvl w:val="0"/>
          <w:numId w:val="22"/>
        </w:numPr>
        <w:contextualSpacing/>
        <w:jc w:val="both"/>
        <w:rPr>
          <w:rFonts w:asciiTheme="minorHAnsi" w:hAnsiTheme="minorHAnsi" w:cs="Arial"/>
          <w:sz w:val="24"/>
          <w:szCs w:val="24"/>
        </w:rPr>
      </w:pPr>
      <w:r w:rsidRPr="00CA2890">
        <w:rPr>
          <w:rFonts w:asciiTheme="minorHAnsi" w:hAnsiTheme="minorHAnsi" w:cs="Arial"/>
          <w:sz w:val="24"/>
          <w:szCs w:val="24"/>
        </w:rPr>
        <w:t xml:space="preserve">Patients must have a documented set of observations including pulse, BP, Sa02, RR and temperature before blood administration and after blood has been given. </w:t>
      </w:r>
    </w:p>
    <w:p w14:paraId="0A67F185" w14:textId="77777777" w:rsidR="001D48D6" w:rsidRPr="001D48D6" w:rsidRDefault="001D48D6" w:rsidP="001D48D6">
      <w:pPr>
        <w:contextualSpacing/>
        <w:jc w:val="both"/>
        <w:rPr>
          <w:rFonts w:asciiTheme="minorHAnsi" w:hAnsiTheme="minorHAnsi" w:cs="Arial"/>
          <w:szCs w:val="24"/>
        </w:rPr>
      </w:pPr>
    </w:p>
    <w:p w14:paraId="66E5F4D4" w14:textId="77777777" w:rsidR="00CA2890" w:rsidRPr="00CA2890" w:rsidRDefault="00CA2890" w:rsidP="00CA2890">
      <w:pPr>
        <w:pStyle w:val="ListParagraph"/>
        <w:numPr>
          <w:ilvl w:val="0"/>
          <w:numId w:val="22"/>
        </w:numPr>
        <w:contextualSpacing/>
        <w:jc w:val="both"/>
        <w:rPr>
          <w:rFonts w:asciiTheme="minorHAnsi" w:hAnsiTheme="minorHAnsi" w:cs="Arial"/>
          <w:sz w:val="24"/>
          <w:szCs w:val="24"/>
        </w:rPr>
      </w:pPr>
      <w:r w:rsidRPr="00CA2890">
        <w:rPr>
          <w:rFonts w:asciiTheme="minorHAnsi" w:hAnsiTheme="minorHAnsi"/>
          <w:sz w:val="24"/>
          <w:szCs w:val="24"/>
        </w:rPr>
        <w:t>Before transfusion each unit of blood must be checked by a challenge and response by two personnel – one of which must be TAAS staff:</w:t>
      </w:r>
    </w:p>
    <w:p w14:paraId="1EEE5B35" w14:textId="77777777" w:rsidR="00CA2890" w:rsidRPr="00CA2890" w:rsidRDefault="00CA2890" w:rsidP="00CA2890">
      <w:pPr>
        <w:pStyle w:val="ListParagraph"/>
        <w:numPr>
          <w:ilvl w:val="0"/>
          <w:numId w:val="27"/>
        </w:numPr>
        <w:contextualSpacing/>
        <w:jc w:val="both"/>
        <w:rPr>
          <w:rFonts w:asciiTheme="minorHAnsi" w:hAnsiTheme="minorHAnsi" w:cs="Arial"/>
          <w:sz w:val="24"/>
          <w:szCs w:val="24"/>
        </w:rPr>
      </w:pPr>
      <w:r w:rsidRPr="00CA2890">
        <w:rPr>
          <w:rFonts w:asciiTheme="minorHAnsi" w:hAnsiTheme="minorHAnsi" w:cs="Arial"/>
          <w:sz w:val="24"/>
          <w:szCs w:val="24"/>
        </w:rPr>
        <w:t xml:space="preserve">Visual inspection of unit (look for discoloration, </w:t>
      </w:r>
      <w:proofErr w:type="spellStart"/>
      <w:r w:rsidRPr="00CA2890">
        <w:rPr>
          <w:rFonts w:asciiTheme="minorHAnsi" w:hAnsiTheme="minorHAnsi" w:cs="Arial"/>
          <w:sz w:val="24"/>
          <w:szCs w:val="24"/>
        </w:rPr>
        <w:t>haemolysis</w:t>
      </w:r>
      <w:proofErr w:type="spellEnd"/>
      <w:r w:rsidRPr="00CA2890">
        <w:rPr>
          <w:rFonts w:asciiTheme="minorHAnsi" w:hAnsiTheme="minorHAnsi" w:cs="Arial"/>
          <w:sz w:val="24"/>
          <w:szCs w:val="24"/>
        </w:rPr>
        <w:t xml:space="preserve">, large clots) </w:t>
      </w:r>
    </w:p>
    <w:p w14:paraId="392DD333" w14:textId="77777777" w:rsidR="00CA2890" w:rsidRPr="00CA2890" w:rsidRDefault="00CA2890" w:rsidP="00CA2890">
      <w:pPr>
        <w:pStyle w:val="ListParagraph"/>
        <w:numPr>
          <w:ilvl w:val="0"/>
          <w:numId w:val="27"/>
        </w:numPr>
        <w:contextualSpacing/>
        <w:jc w:val="both"/>
        <w:rPr>
          <w:rFonts w:asciiTheme="minorHAnsi" w:hAnsiTheme="minorHAnsi" w:cs="Arial"/>
          <w:sz w:val="24"/>
          <w:szCs w:val="24"/>
        </w:rPr>
      </w:pPr>
      <w:r w:rsidRPr="00CA2890">
        <w:rPr>
          <w:rFonts w:asciiTheme="minorHAnsi" w:hAnsiTheme="minorHAnsi" w:cs="Arial"/>
          <w:sz w:val="24"/>
          <w:szCs w:val="24"/>
        </w:rPr>
        <w:t>Confirm blood type</w:t>
      </w:r>
    </w:p>
    <w:p w14:paraId="2E0C284A" w14:textId="77777777" w:rsidR="00CA2890" w:rsidRDefault="00CA2890" w:rsidP="00CA2890">
      <w:pPr>
        <w:pStyle w:val="ListParagraph"/>
        <w:numPr>
          <w:ilvl w:val="0"/>
          <w:numId w:val="27"/>
        </w:numPr>
        <w:contextualSpacing/>
        <w:jc w:val="both"/>
        <w:rPr>
          <w:rFonts w:asciiTheme="minorHAnsi" w:hAnsiTheme="minorHAnsi" w:cs="Arial"/>
          <w:sz w:val="24"/>
          <w:szCs w:val="24"/>
        </w:rPr>
      </w:pPr>
      <w:r w:rsidRPr="00CA2890">
        <w:rPr>
          <w:rFonts w:asciiTheme="minorHAnsi" w:hAnsiTheme="minorHAnsi" w:cs="Arial"/>
          <w:sz w:val="24"/>
          <w:szCs w:val="24"/>
        </w:rPr>
        <w:t>Confirm expiry date</w:t>
      </w:r>
    </w:p>
    <w:p w14:paraId="6F0367A5" w14:textId="02E9EC91" w:rsidR="00CA2890" w:rsidRDefault="00CA2890" w:rsidP="00CA2890">
      <w:pPr>
        <w:pStyle w:val="Default"/>
        <w:numPr>
          <w:ilvl w:val="0"/>
          <w:numId w:val="31"/>
        </w:numPr>
        <w:jc w:val="both"/>
        <w:rPr>
          <w:rFonts w:asciiTheme="minorHAnsi" w:hAnsiTheme="minorHAnsi" w:cs="Arial"/>
        </w:rPr>
      </w:pPr>
      <w:r w:rsidRPr="00CA2890">
        <w:rPr>
          <w:rFonts w:asciiTheme="minorHAnsi" w:hAnsiTheme="minorHAnsi" w:cs="Arial"/>
        </w:rPr>
        <w:t xml:space="preserve">Blood components must be given via a double-chambered blood filter giving set with a fluid warmer. All TAAS staff must be trained and competent </w:t>
      </w:r>
      <w:r>
        <w:rPr>
          <w:rFonts w:asciiTheme="minorHAnsi" w:hAnsiTheme="minorHAnsi" w:cs="Arial"/>
        </w:rPr>
        <w:t>in the use of the blood warmer.</w:t>
      </w:r>
    </w:p>
    <w:p w14:paraId="3F0EF244" w14:textId="77777777" w:rsidR="001D48D6" w:rsidRPr="00CA2890" w:rsidRDefault="001D48D6" w:rsidP="001D48D6">
      <w:pPr>
        <w:pStyle w:val="Default"/>
        <w:ind w:left="720"/>
        <w:jc w:val="both"/>
        <w:rPr>
          <w:rFonts w:asciiTheme="minorHAnsi" w:hAnsiTheme="minorHAnsi" w:cs="Arial"/>
        </w:rPr>
      </w:pPr>
    </w:p>
    <w:p w14:paraId="78D06B69" w14:textId="77777777" w:rsidR="00CA2890" w:rsidRPr="00CA2890" w:rsidRDefault="00CA2890" w:rsidP="00CA2890">
      <w:pPr>
        <w:pStyle w:val="ListParagraph"/>
        <w:numPr>
          <w:ilvl w:val="0"/>
          <w:numId w:val="22"/>
        </w:numPr>
        <w:contextualSpacing/>
        <w:jc w:val="both"/>
        <w:rPr>
          <w:rFonts w:asciiTheme="minorHAnsi" w:hAnsiTheme="minorHAnsi" w:cs="Arial"/>
          <w:sz w:val="24"/>
          <w:szCs w:val="24"/>
        </w:rPr>
      </w:pPr>
      <w:r w:rsidRPr="00CA2890">
        <w:rPr>
          <w:rFonts w:asciiTheme="minorHAnsi" w:hAnsiTheme="minorHAnsi" w:cs="Arial"/>
          <w:sz w:val="24"/>
          <w:szCs w:val="24"/>
        </w:rPr>
        <w:t>To set up:</w:t>
      </w:r>
    </w:p>
    <w:p w14:paraId="6EB59E57" w14:textId="77777777" w:rsidR="00CA2890" w:rsidRPr="00CA2890" w:rsidRDefault="00CA2890" w:rsidP="00CA2890">
      <w:pPr>
        <w:pStyle w:val="ListParagraph"/>
        <w:numPr>
          <w:ilvl w:val="1"/>
          <w:numId w:val="28"/>
        </w:numPr>
        <w:contextualSpacing/>
        <w:jc w:val="both"/>
        <w:rPr>
          <w:rFonts w:asciiTheme="minorHAnsi" w:hAnsiTheme="minorHAnsi" w:cs="Arial"/>
          <w:sz w:val="24"/>
          <w:szCs w:val="24"/>
        </w:rPr>
      </w:pPr>
      <w:r w:rsidRPr="00CA2890">
        <w:rPr>
          <w:rFonts w:asciiTheme="minorHAnsi" w:hAnsiTheme="minorHAnsi" w:cs="Arial"/>
          <w:sz w:val="24"/>
          <w:szCs w:val="24"/>
        </w:rPr>
        <w:t>A bag of saline must be run through the TAAS blood giving set</w:t>
      </w:r>
    </w:p>
    <w:p w14:paraId="488871E8" w14:textId="77777777" w:rsidR="00CA2890" w:rsidRPr="00CA2890" w:rsidRDefault="00CA2890" w:rsidP="00CA2890">
      <w:pPr>
        <w:pStyle w:val="ListParagraph"/>
        <w:numPr>
          <w:ilvl w:val="1"/>
          <w:numId w:val="28"/>
        </w:numPr>
        <w:contextualSpacing/>
        <w:jc w:val="both"/>
        <w:rPr>
          <w:rFonts w:asciiTheme="minorHAnsi" w:hAnsiTheme="minorHAnsi" w:cs="Arial"/>
          <w:sz w:val="24"/>
          <w:szCs w:val="24"/>
        </w:rPr>
      </w:pPr>
      <w:r w:rsidRPr="00CA2890">
        <w:rPr>
          <w:rFonts w:asciiTheme="minorHAnsi" w:hAnsiTheme="minorHAnsi" w:cs="Arial"/>
          <w:sz w:val="24"/>
          <w:szCs w:val="24"/>
        </w:rPr>
        <w:t>The primed giving set should be attached to the fluid warmer</w:t>
      </w:r>
    </w:p>
    <w:p w14:paraId="3586A653" w14:textId="77777777" w:rsidR="00CA2890" w:rsidRDefault="00CA2890" w:rsidP="00CA2890">
      <w:pPr>
        <w:pStyle w:val="ListParagraph"/>
        <w:numPr>
          <w:ilvl w:val="1"/>
          <w:numId w:val="28"/>
        </w:numPr>
        <w:contextualSpacing/>
        <w:jc w:val="both"/>
        <w:rPr>
          <w:rFonts w:asciiTheme="minorHAnsi" w:hAnsiTheme="minorHAnsi" w:cs="Arial"/>
          <w:sz w:val="24"/>
          <w:szCs w:val="24"/>
        </w:rPr>
      </w:pPr>
      <w:r w:rsidRPr="00CA2890">
        <w:rPr>
          <w:rFonts w:asciiTheme="minorHAnsi" w:hAnsiTheme="minorHAnsi" w:cs="Arial"/>
          <w:sz w:val="24"/>
          <w:szCs w:val="24"/>
        </w:rPr>
        <w:t xml:space="preserve">The checked blood component can then be spiked directly on to the primed giving set – this method will prevent risk of air bubbles and occlusion of the giving set. </w:t>
      </w:r>
    </w:p>
    <w:p w14:paraId="20E94D36" w14:textId="77777777" w:rsidR="00CA2890" w:rsidRPr="00CA2890" w:rsidRDefault="00CA2890" w:rsidP="00CA2890">
      <w:pPr>
        <w:pStyle w:val="ListParagraph"/>
        <w:ind w:left="1080"/>
        <w:contextualSpacing/>
        <w:jc w:val="both"/>
        <w:rPr>
          <w:rFonts w:asciiTheme="minorHAnsi" w:hAnsiTheme="minorHAnsi" w:cs="Arial"/>
          <w:sz w:val="24"/>
          <w:szCs w:val="24"/>
        </w:rPr>
      </w:pPr>
    </w:p>
    <w:p w14:paraId="09A79E37" w14:textId="77777777" w:rsidR="00CA2890" w:rsidRDefault="00CA2890" w:rsidP="00CA2890">
      <w:pPr>
        <w:pStyle w:val="ListParagraph"/>
        <w:numPr>
          <w:ilvl w:val="0"/>
          <w:numId w:val="22"/>
        </w:numPr>
        <w:contextualSpacing/>
        <w:jc w:val="both"/>
        <w:rPr>
          <w:rFonts w:asciiTheme="minorHAnsi" w:hAnsiTheme="minorHAnsi" w:cs="Arial"/>
          <w:sz w:val="24"/>
          <w:szCs w:val="24"/>
        </w:rPr>
      </w:pPr>
      <w:r w:rsidRPr="00CA2890">
        <w:rPr>
          <w:rFonts w:asciiTheme="minorHAnsi" w:hAnsiTheme="minorHAnsi" w:cs="Arial"/>
          <w:sz w:val="24"/>
          <w:szCs w:val="24"/>
        </w:rPr>
        <w:t xml:space="preserve">The order of transfusion should be FFP – </w:t>
      </w:r>
      <w:proofErr w:type="spellStart"/>
      <w:r w:rsidRPr="00CA2890">
        <w:rPr>
          <w:rFonts w:asciiTheme="minorHAnsi" w:hAnsiTheme="minorHAnsi" w:cs="Arial"/>
          <w:sz w:val="24"/>
          <w:szCs w:val="24"/>
        </w:rPr>
        <w:t>pRBC</w:t>
      </w:r>
      <w:proofErr w:type="spellEnd"/>
      <w:r w:rsidRPr="00CA2890">
        <w:rPr>
          <w:rFonts w:asciiTheme="minorHAnsi" w:hAnsiTheme="minorHAnsi" w:cs="Arial"/>
          <w:sz w:val="24"/>
          <w:szCs w:val="24"/>
        </w:rPr>
        <w:t xml:space="preserve"> – FFP – </w:t>
      </w:r>
      <w:proofErr w:type="spellStart"/>
      <w:r w:rsidRPr="00CA2890">
        <w:rPr>
          <w:rFonts w:asciiTheme="minorHAnsi" w:hAnsiTheme="minorHAnsi" w:cs="Arial"/>
          <w:sz w:val="24"/>
          <w:szCs w:val="24"/>
        </w:rPr>
        <w:t>pRBC</w:t>
      </w:r>
      <w:proofErr w:type="spellEnd"/>
      <w:r w:rsidRPr="00CA2890">
        <w:rPr>
          <w:rFonts w:asciiTheme="minorHAnsi" w:hAnsiTheme="minorHAnsi" w:cs="Arial"/>
          <w:sz w:val="24"/>
          <w:szCs w:val="24"/>
        </w:rPr>
        <w:t xml:space="preserve"> to provide a balanced transfusion.</w:t>
      </w:r>
    </w:p>
    <w:p w14:paraId="3B70E5A2" w14:textId="77777777" w:rsidR="001D48D6" w:rsidRPr="00CA2890" w:rsidRDefault="001D48D6" w:rsidP="001D48D6">
      <w:pPr>
        <w:pStyle w:val="ListParagraph"/>
        <w:contextualSpacing/>
        <w:jc w:val="both"/>
        <w:rPr>
          <w:rFonts w:asciiTheme="minorHAnsi" w:hAnsiTheme="minorHAnsi" w:cs="Arial"/>
          <w:sz w:val="24"/>
          <w:szCs w:val="24"/>
        </w:rPr>
      </w:pPr>
    </w:p>
    <w:p w14:paraId="7E6D5235" w14:textId="77777777" w:rsidR="00CA2890" w:rsidRDefault="00CA2890" w:rsidP="00CA2890">
      <w:pPr>
        <w:pStyle w:val="ListParagraph"/>
        <w:numPr>
          <w:ilvl w:val="0"/>
          <w:numId w:val="22"/>
        </w:numPr>
        <w:contextualSpacing/>
        <w:jc w:val="both"/>
        <w:rPr>
          <w:rFonts w:asciiTheme="minorHAnsi" w:hAnsiTheme="minorHAnsi" w:cs="Arial"/>
          <w:sz w:val="24"/>
          <w:szCs w:val="24"/>
        </w:rPr>
      </w:pPr>
      <w:r w:rsidRPr="00CA2890">
        <w:rPr>
          <w:rFonts w:asciiTheme="minorHAnsi" w:hAnsiTheme="minorHAnsi" w:cs="Arial"/>
          <w:sz w:val="24"/>
          <w:szCs w:val="24"/>
        </w:rPr>
        <w:t xml:space="preserve">Adult patients should receive one unit of blood components before reassessment and </w:t>
      </w:r>
      <w:proofErr w:type="spellStart"/>
      <w:r w:rsidRPr="00CA2890">
        <w:rPr>
          <w:rFonts w:asciiTheme="minorHAnsi" w:hAnsiTheme="minorHAnsi" w:cs="Arial"/>
          <w:sz w:val="24"/>
          <w:szCs w:val="24"/>
        </w:rPr>
        <w:t>paediatric</w:t>
      </w:r>
      <w:proofErr w:type="spellEnd"/>
      <w:r w:rsidRPr="00CA2890">
        <w:rPr>
          <w:rFonts w:asciiTheme="minorHAnsi" w:hAnsiTheme="minorHAnsi" w:cs="Arial"/>
          <w:sz w:val="24"/>
          <w:szCs w:val="24"/>
        </w:rPr>
        <w:t xml:space="preserve"> patients should receive boluses of 10mls/kg.</w:t>
      </w:r>
    </w:p>
    <w:p w14:paraId="3143CFB5" w14:textId="77777777" w:rsidR="00CA2890" w:rsidRPr="00CA2890" w:rsidRDefault="00CA2890" w:rsidP="00CA2890">
      <w:pPr>
        <w:pStyle w:val="ListParagraph"/>
        <w:contextualSpacing/>
        <w:jc w:val="both"/>
        <w:rPr>
          <w:rFonts w:asciiTheme="minorHAnsi" w:hAnsiTheme="minorHAnsi" w:cs="Arial"/>
          <w:sz w:val="24"/>
          <w:szCs w:val="24"/>
        </w:rPr>
      </w:pPr>
    </w:p>
    <w:p w14:paraId="42F7BE3B" w14:textId="77777777" w:rsidR="00CA2890" w:rsidRDefault="00CA2890" w:rsidP="00CA2890">
      <w:pPr>
        <w:pStyle w:val="Default"/>
        <w:numPr>
          <w:ilvl w:val="0"/>
          <w:numId w:val="22"/>
        </w:numPr>
        <w:jc w:val="both"/>
        <w:rPr>
          <w:rFonts w:asciiTheme="minorHAnsi" w:hAnsiTheme="minorHAnsi"/>
        </w:rPr>
      </w:pPr>
      <w:r w:rsidRPr="00CA2890">
        <w:rPr>
          <w:rFonts w:asciiTheme="minorHAnsi" w:hAnsiTheme="minorHAnsi" w:cs="Arial"/>
        </w:rPr>
        <w:t xml:space="preserve">10mls 10% calcium chloride must be given routinely after 4 units of blood components have been administered (0.2ml/kg in children after 20mls/kg volume of transfusion). </w:t>
      </w:r>
      <w:r w:rsidRPr="00CA2890">
        <w:rPr>
          <w:rFonts w:asciiTheme="minorHAnsi" w:hAnsiTheme="minorHAnsi"/>
        </w:rPr>
        <w:t>Ideally this should be through a separate cannula. Where this is not possible, where blood is already running, a 10-20ml saline flush must be given both before and after the calcium chloride injection to prevent mixing in the line.</w:t>
      </w:r>
    </w:p>
    <w:p w14:paraId="11842A59" w14:textId="77777777" w:rsidR="00CA2890" w:rsidRPr="00CA2890" w:rsidRDefault="00CA2890" w:rsidP="00CA2890">
      <w:pPr>
        <w:pStyle w:val="Default"/>
        <w:jc w:val="both"/>
        <w:rPr>
          <w:rFonts w:asciiTheme="minorHAnsi" w:hAnsiTheme="minorHAnsi"/>
        </w:rPr>
      </w:pPr>
    </w:p>
    <w:p w14:paraId="3549A464" w14:textId="77777777" w:rsidR="00CA2890" w:rsidRDefault="00CA2890" w:rsidP="00CA2890">
      <w:pPr>
        <w:pStyle w:val="ListParagraph"/>
        <w:widowControl w:val="0"/>
        <w:numPr>
          <w:ilvl w:val="0"/>
          <w:numId w:val="22"/>
        </w:numPr>
        <w:autoSpaceDE w:val="0"/>
        <w:autoSpaceDN w:val="0"/>
        <w:adjustRightInd w:val="0"/>
        <w:contextualSpacing/>
        <w:jc w:val="both"/>
        <w:rPr>
          <w:rFonts w:asciiTheme="minorHAnsi" w:hAnsiTheme="minorHAnsi"/>
          <w:sz w:val="24"/>
          <w:szCs w:val="24"/>
        </w:rPr>
      </w:pPr>
      <w:r w:rsidRPr="00CA2890">
        <w:rPr>
          <w:rFonts w:asciiTheme="minorHAnsi" w:hAnsiTheme="minorHAnsi"/>
          <w:sz w:val="24"/>
          <w:szCs w:val="24"/>
        </w:rPr>
        <w:t xml:space="preserve">Gold standard vascular access is via a peripheral venous cannula. Transfusion through an intraosseous needle or a small cannula, will require a 3 way tap on the patient side of the warmer and a large </w:t>
      </w:r>
      <w:proofErr w:type="spellStart"/>
      <w:r w:rsidRPr="00CA2890">
        <w:rPr>
          <w:rFonts w:asciiTheme="minorHAnsi" w:hAnsiTheme="minorHAnsi"/>
          <w:sz w:val="24"/>
          <w:szCs w:val="24"/>
        </w:rPr>
        <w:t>Luer</w:t>
      </w:r>
      <w:proofErr w:type="spellEnd"/>
      <w:r w:rsidRPr="00CA2890">
        <w:rPr>
          <w:rFonts w:asciiTheme="minorHAnsi" w:hAnsiTheme="minorHAnsi"/>
          <w:sz w:val="24"/>
          <w:szCs w:val="24"/>
        </w:rPr>
        <w:t xml:space="preserve">-lock syringe to draw warmed blood and provide pressure to transfuse a specific volume. </w:t>
      </w:r>
    </w:p>
    <w:p w14:paraId="752643E7" w14:textId="77777777" w:rsidR="001D48D6" w:rsidRPr="001D48D6" w:rsidRDefault="001D48D6" w:rsidP="001D48D6">
      <w:pPr>
        <w:widowControl w:val="0"/>
        <w:autoSpaceDE w:val="0"/>
        <w:autoSpaceDN w:val="0"/>
        <w:adjustRightInd w:val="0"/>
        <w:contextualSpacing/>
        <w:jc w:val="both"/>
        <w:rPr>
          <w:rFonts w:asciiTheme="minorHAnsi" w:hAnsiTheme="minorHAnsi"/>
          <w:szCs w:val="24"/>
        </w:rPr>
      </w:pPr>
    </w:p>
    <w:p w14:paraId="65346AB1" w14:textId="77777777" w:rsidR="00CA2890" w:rsidRDefault="00CA2890" w:rsidP="00CA2890">
      <w:pPr>
        <w:pStyle w:val="Default"/>
        <w:numPr>
          <w:ilvl w:val="0"/>
          <w:numId w:val="22"/>
        </w:numPr>
        <w:jc w:val="both"/>
        <w:rPr>
          <w:rFonts w:asciiTheme="minorHAnsi" w:hAnsiTheme="minorHAnsi"/>
        </w:rPr>
      </w:pPr>
      <w:r w:rsidRPr="00CA2890">
        <w:rPr>
          <w:rFonts w:asciiTheme="minorHAnsi" w:hAnsiTheme="minorHAnsi"/>
        </w:rPr>
        <w:t xml:space="preserve">Drugs should not be administered via the vascular access used for transfusion unless pre and post saline flushes can be used. </w:t>
      </w:r>
    </w:p>
    <w:p w14:paraId="032BD3BC" w14:textId="77777777" w:rsidR="001D48D6" w:rsidRPr="00CA2890" w:rsidRDefault="001D48D6" w:rsidP="001D48D6">
      <w:pPr>
        <w:pStyle w:val="Default"/>
        <w:jc w:val="both"/>
        <w:rPr>
          <w:rFonts w:asciiTheme="minorHAnsi" w:hAnsiTheme="minorHAnsi"/>
        </w:rPr>
      </w:pPr>
    </w:p>
    <w:p w14:paraId="26EDE464" w14:textId="77777777" w:rsidR="00CA2890" w:rsidRPr="00CA2890" w:rsidRDefault="00CA2890" w:rsidP="00CA2890">
      <w:pPr>
        <w:pStyle w:val="Default"/>
        <w:numPr>
          <w:ilvl w:val="0"/>
          <w:numId w:val="22"/>
        </w:numPr>
        <w:jc w:val="both"/>
        <w:rPr>
          <w:rFonts w:asciiTheme="minorHAnsi" w:hAnsiTheme="minorHAnsi"/>
        </w:rPr>
      </w:pPr>
      <w:r w:rsidRPr="00CA2890">
        <w:rPr>
          <w:rFonts w:asciiTheme="minorHAnsi" w:hAnsiTheme="minorHAnsi"/>
        </w:rPr>
        <w:t xml:space="preserve">The diagram below demonstrates the set-up for transfusion in </w:t>
      </w:r>
      <w:proofErr w:type="spellStart"/>
      <w:r w:rsidRPr="00CA2890">
        <w:rPr>
          <w:rFonts w:asciiTheme="minorHAnsi" w:hAnsiTheme="minorHAnsi"/>
        </w:rPr>
        <w:t>paediatric</w:t>
      </w:r>
      <w:proofErr w:type="spellEnd"/>
      <w:r w:rsidRPr="00CA2890">
        <w:rPr>
          <w:rFonts w:asciiTheme="minorHAnsi" w:hAnsiTheme="minorHAnsi"/>
        </w:rPr>
        <w:t xml:space="preserve"> patients &lt;30kg to allow blood components to be transfused in 10ml/kg boluses in a 1:1 PRBC to FFP ratio without wastage.</w:t>
      </w:r>
    </w:p>
    <w:p w14:paraId="0F5F8CE0" w14:textId="77777777" w:rsidR="00CA2890" w:rsidRPr="00CA2890" w:rsidRDefault="00CA2890" w:rsidP="00CA2890">
      <w:pPr>
        <w:jc w:val="both"/>
        <w:rPr>
          <w:rFonts w:asciiTheme="minorHAnsi" w:hAnsiTheme="minorHAnsi" w:cs="Arial"/>
          <w:szCs w:val="24"/>
        </w:rPr>
      </w:pPr>
    </w:p>
    <w:p w14:paraId="5FAC17DC" w14:textId="77777777" w:rsidR="00CA2890" w:rsidRPr="00CA2890" w:rsidRDefault="00CA2890" w:rsidP="00CA2890">
      <w:pPr>
        <w:jc w:val="both"/>
        <w:rPr>
          <w:rFonts w:asciiTheme="minorHAnsi" w:hAnsiTheme="minorHAnsi" w:cs="Arial"/>
          <w:szCs w:val="24"/>
        </w:rPr>
      </w:pPr>
      <w:r w:rsidRPr="00CA2890">
        <w:rPr>
          <w:rFonts w:asciiTheme="minorHAnsi" w:hAnsiTheme="minorHAnsi" w:cs="Arial"/>
          <w:b/>
          <w:noProof/>
          <w:szCs w:val="24"/>
          <w:lang w:val="en-US"/>
        </w:rPr>
        <w:drawing>
          <wp:inline distT="0" distB="0" distL="0" distR="0" wp14:anchorId="3E1F82DD" wp14:editId="59EC392B">
            <wp:extent cx="5270500" cy="2333625"/>
            <wp:effectExtent l="0" t="0" r="0"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270500" cy="2333625"/>
                    </a:xfrm>
                    <a:prstGeom prst="rect">
                      <a:avLst/>
                    </a:prstGeom>
                  </pic:spPr>
                </pic:pic>
              </a:graphicData>
            </a:graphic>
          </wp:inline>
        </w:drawing>
      </w:r>
    </w:p>
    <w:p w14:paraId="681C2C62" w14:textId="77777777" w:rsidR="00CA2890" w:rsidRPr="00CA2890" w:rsidRDefault="00CA2890" w:rsidP="00CA2890">
      <w:pPr>
        <w:jc w:val="both"/>
        <w:rPr>
          <w:rFonts w:asciiTheme="minorHAnsi" w:hAnsiTheme="minorHAnsi" w:cs="Arial"/>
          <w:b/>
          <w:szCs w:val="24"/>
        </w:rPr>
      </w:pPr>
    </w:p>
    <w:p w14:paraId="1BDFA729" w14:textId="77777777" w:rsidR="00CA2890" w:rsidRDefault="00CA2890" w:rsidP="00CA2890">
      <w:pPr>
        <w:jc w:val="both"/>
        <w:rPr>
          <w:rFonts w:asciiTheme="minorHAnsi" w:hAnsiTheme="minorHAnsi" w:cs="Arial"/>
          <w:b/>
          <w:szCs w:val="24"/>
        </w:rPr>
      </w:pPr>
      <w:r w:rsidRPr="00CA2890">
        <w:rPr>
          <w:rFonts w:asciiTheme="minorHAnsi" w:hAnsiTheme="minorHAnsi" w:cs="Arial"/>
          <w:b/>
          <w:szCs w:val="24"/>
        </w:rPr>
        <w:t>Traceability</w:t>
      </w:r>
    </w:p>
    <w:p w14:paraId="5063FF0F" w14:textId="77777777" w:rsidR="001D48D6" w:rsidRPr="00CA2890" w:rsidRDefault="001D48D6" w:rsidP="00CA2890">
      <w:pPr>
        <w:jc w:val="both"/>
        <w:rPr>
          <w:rFonts w:asciiTheme="minorHAnsi" w:hAnsiTheme="minorHAnsi" w:cs="Arial"/>
          <w:b/>
          <w:szCs w:val="24"/>
        </w:rPr>
      </w:pPr>
    </w:p>
    <w:p w14:paraId="6E1C9786" w14:textId="77777777" w:rsidR="00CA2890" w:rsidRDefault="00CA2890" w:rsidP="00CA2890">
      <w:pPr>
        <w:pStyle w:val="Default"/>
        <w:numPr>
          <w:ilvl w:val="0"/>
          <w:numId w:val="29"/>
        </w:numPr>
        <w:jc w:val="both"/>
        <w:rPr>
          <w:rFonts w:asciiTheme="minorHAnsi" w:hAnsiTheme="minorHAnsi" w:cs="Arial"/>
        </w:rPr>
      </w:pPr>
      <w:r w:rsidRPr="00CA2890">
        <w:rPr>
          <w:rFonts w:asciiTheme="minorHAnsi" w:hAnsiTheme="minorHAnsi" w:cs="Arial"/>
        </w:rPr>
        <w:t xml:space="preserve">The Transfusion Record Sheet (TRS) paperwork inside the blood transport box must be kept safe and used to document blood administration </w:t>
      </w:r>
      <w:r w:rsidRPr="00CA2890">
        <w:rPr>
          <w:rFonts w:asciiTheme="minorHAnsi" w:hAnsiTheme="minorHAnsi" w:cs="Arial"/>
          <w:u w:val="single"/>
        </w:rPr>
        <w:t>after handover at hospital</w:t>
      </w:r>
      <w:r w:rsidRPr="00CA2890">
        <w:rPr>
          <w:rFonts w:asciiTheme="minorHAnsi" w:hAnsiTheme="minorHAnsi" w:cs="Arial"/>
        </w:rPr>
        <w:t xml:space="preserve"> (see Appendix 2). The completion of the TRS is mandatory to ensure 100% traceability for every unit of blood component. </w:t>
      </w:r>
    </w:p>
    <w:p w14:paraId="273CC2BC" w14:textId="77777777" w:rsidR="001D48D6" w:rsidRPr="00CA2890" w:rsidRDefault="001D48D6" w:rsidP="001D48D6">
      <w:pPr>
        <w:pStyle w:val="Default"/>
        <w:ind w:left="720"/>
        <w:jc w:val="both"/>
        <w:rPr>
          <w:rFonts w:asciiTheme="minorHAnsi" w:hAnsiTheme="minorHAnsi" w:cs="Arial"/>
        </w:rPr>
      </w:pPr>
    </w:p>
    <w:p w14:paraId="59EDE265" w14:textId="77777777" w:rsidR="00CA2890" w:rsidRDefault="00CA2890" w:rsidP="00CA2890">
      <w:pPr>
        <w:pStyle w:val="ListParagraph"/>
        <w:widowControl w:val="0"/>
        <w:numPr>
          <w:ilvl w:val="0"/>
          <w:numId w:val="29"/>
        </w:numPr>
        <w:autoSpaceDE w:val="0"/>
        <w:autoSpaceDN w:val="0"/>
        <w:adjustRightInd w:val="0"/>
        <w:contextualSpacing/>
        <w:jc w:val="both"/>
        <w:rPr>
          <w:rFonts w:asciiTheme="minorHAnsi" w:hAnsiTheme="minorHAnsi" w:cs="Arial"/>
          <w:sz w:val="24"/>
          <w:szCs w:val="24"/>
        </w:rPr>
      </w:pPr>
      <w:r w:rsidRPr="00CA2890">
        <w:rPr>
          <w:rFonts w:asciiTheme="minorHAnsi" w:hAnsiTheme="minorHAnsi" w:cs="Arial"/>
          <w:sz w:val="24"/>
          <w:szCs w:val="24"/>
        </w:rPr>
        <w:t xml:space="preserve">TAAS staff must complete all fields after transfusion has occurred. This must be done in a calm environment (i.e. not on scene) to avoid transcription errors. </w:t>
      </w:r>
    </w:p>
    <w:p w14:paraId="6107696E" w14:textId="77777777" w:rsidR="001D48D6" w:rsidRPr="001D48D6" w:rsidRDefault="001D48D6" w:rsidP="001D48D6">
      <w:pPr>
        <w:widowControl w:val="0"/>
        <w:autoSpaceDE w:val="0"/>
        <w:autoSpaceDN w:val="0"/>
        <w:adjustRightInd w:val="0"/>
        <w:contextualSpacing/>
        <w:jc w:val="both"/>
        <w:rPr>
          <w:rFonts w:asciiTheme="minorHAnsi" w:hAnsiTheme="minorHAnsi" w:cs="Arial"/>
          <w:szCs w:val="24"/>
        </w:rPr>
      </w:pPr>
    </w:p>
    <w:p w14:paraId="16131A21" w14:textId="77777777" w:rsidR="00CA2890" w:rsidRDefault="00CA2890" w:rsidP="00CA2890">
      <w:pPr>
        <w:pStyle w:val="ListParagraph"/>
        <w:widowControl w:val="0"/>
        <w:numPr>
          <w:ilvl w:val="0"/>
          <w:numId w:val="29"/>
        </w:numPr>
        <w:autoSpaceDE w:val="0"/>
        <w:autoSpaceDN w:val="0"/>
        <w:adjustRightInd w:val="0"/>
        <w:contextualSpacing/>
        <w:jc w:val="both"/>
        <w:rPr>
          <w:rFonts w:asciiTheme="minorHAnsi" w:hAnsiTheme="minorHAnsi" w:cs="Arial"/>
          <w:sz w:val="24"/>
          <w:szCs w:val="24"/>
        </w:rPr>
      </w:pPr>
      <w:r w:rsidRPr="00CA2890">
        <w:rPr>
          <w:rFonts w:asciiTheme="minorHAnsi" w:hAnsiTheme="minorHAnsi" w:cs="Arial"/>
          <w:sz w:val="24"/>
          <w:szCs w:val="24"/>
        </w:rPr>
        <w:t xml:space="preserve">The TRS must be photographed and added to the TAAS database for each patient. </w:t>
      </w:r>
    </w:p>
    <w:p w14:paraId="3A31A65A" w14:textId="77777777" w:rsidR="001D48D6" w:rsidRPr="001D48D6" w:rsidRDefault="001D48D6" w:rsidP="001D48D6">
      <w:pPr>
        <w:widowControl w:val="0"/>
        <w:autoSpaceDE w:val="0"/>
        <w:autoSpaceDN w:val="0"/>
        <w:adjustRightInd w:val="0"/>
        <w:contextualSpacing/>
        <w:jc w:val="both"/>
        <w:rPr>
          <w:rFonts w:asciiTheme="minorHAnsi" w:hAnsiTheme="minorHAnsi" w:cs="Arial"/>
          <w:szCs w:val="24"/>
        </w:rPr>
      </w:pPr>
    </w:p>
    <w:p w14:paraId="75DE2ADE" w14:textId="77777777" w:rsidR="00CA2890" w:rsidRDefault="00CA2890" w:rsidP="00CA2890">
      <w:pPr>
        <w:pStyle w:val="ListParagraph"/>
        <w:widowControl w:val="0"/>
        <w:numPr>
          <w:ilvl w:val="0"/>
          <w:numId w:val="29"/>
        </w:numPr>
        <w:autoSpaceDE w:val="0"/>
        <w:autoSpaceDN w:val="0"/>
        <w:adjustRightInd w:val="0"/>
        <w:contextualSpacing/>
        <w:jc w:val="both"/>
        <w:rPr>
          <w:rFonts w:asciiTheme="minorHAnsi" w:hAnsiTheme="minorHAnsi" w:cs="Arial"/>
          <w:sz w:val="24"/>
          <w:szCs w:val="24"/>
        </w:rPr>
      </w:pPr>
      <w:r w:rsidRPr="00CA2890">
        <w:rPr>
          <w:rFonts w:asciiTheme="minorHAnsi" w:hAnsiTheme="minorHAnsi" w:cs="Arial"/>
          <w:sz w:val="24"/>
          <w:szCs w:val="24"/>
        </w:rPr>
        <w:t>The transfused units should also be recorded on the ambulance service Patient Report Form including type of blood component, unit number and expiry date for each transfused unit.</w:t>
      </w:r>
    </w:p>
    <w:p w14:paraId="78719E41" w14:textId="77777777" w:rsidR="001D48D6" w:rsidRPr="001D48D6" w:rsidRDefault="001D48D6" w:rsidP="001D48D6">
      <w:pPr>
        <w:widowControl w:val="0"/>
        <w:autoSpaceDE w:val="0"/>
        <w:autoSpaceDN w:val="0"/>
        <w:adjustRightInd w:val="0"/>
        <w:contextualSpacing/>
        <w:jc w:val="both"/>
        <w:rPr>
          <w:rFonts w:asciiTheme="minorHAnsi" w:hAnsiTheme="minorHAnsi" w:cs="Arial"/>
          <w:szCs w:val="24"/>
        </w:rPr>
      </w:pPr>
    </w:p>
    <w:p w14:paraId="671F8068" w14:textId="77777777" w:rsidR="00CA2890" w:rsidRPr="00CA2890" w:rsidRDefault="00CA2890" w:rsidP="00CA2890">
      <w:pPr>
        <w:pStyle w:val="ListParagraph"/>
        <w:widowControl w:val="0"/>
        <w:numPr>
          <w:ilvl w:val="0"/>
          <w:numId w:val="29"/>
        </w:numPr>
        <w:autoSpaceDE w:val="0"/>
        <w:autoSpaceDN w:val="0"/>
        <w:adjustRightInd w:val="0"/>
        <w:contextualSpacing/>
        <w:jc w:val="both"/>
        <w:rPr>
          <w:rFonts w:asciiTheme="minorHAnsi" w:hAnsiTheme="minorHAnsi" w:cs="Arial"/>
          <w:sz w:val="24"/>
          <w:szCs w:val="24"/>
        </w:rPr>
      </w:pPr>
      <w:r w:rsidRPr="00CA2890">
        <w:rPr>
          <w:rFonts w:asciiTheme="minorHAnsi" w:hAnsiTheme="minorHAnsi" w:cs="Arial"/>
          <w:sz w:val="24"/>
          <w:szCs w:val="24"/>
        </w:rPr>
        <w:t xml:space="preserve">The </w:t>
      </w:r>
      <w:r w:rsidRPr="00CA2890">
        <w:rPr>
          <w:rFonts w:asciiTheme="minorHAnsi" w:hAnsiTheme="minorHAnsi" w:cs="Arial"/>
          <w:b/>
          <w:sz w:val="24"/>
          <w:szCs w:val="24"/>
        </w:rPr>
        <w:t>distributing BTL must be emailed a copy of the TRS when blood has been transfused</w:t>
      </w:r>
      <w:r w:rsidRPr="00CA2890">
        <w:rPr>
          <w:rFonts w:asciiTheme="minorHAnsi" w:hAnsiTheme="minorHAnsi" w:cs="Arial"/>
          <w:sz w:val="24"/>
          <w:szCs w:val="24"/>
        </w:rPr>
        <w:t xml:space="preserve"> and the transport box is being returned. The following email addresses should be used:</w:t>
      </w:r>
    </w:p>
    <w:p w14:paraId="3E8DF611" w14:textId="77777777" w:rsidR="00CA2890" w:rsidRPr="00CA2890" w:rsidRDefault="00CA2890" w:rsidP="00CA2890">
      <w:pPr>
        <w:pStyle w:val="ListParagraph"/>
        <w:widowControl w:val="0"/>
        <w:autoSpaceDE w:val="0"/>
        <w:autoSpaceDN w:val="0"/>
        <w:adjustRightInd w:val="0"/>
        <w:jc w:val="both"/>
        <w:rPr>
          <w:rFonts w:asciiTheme="minorHAnsi" w:hAnsiTheme="minorHAnsi" w:cs="Arial"/>
        </w:rPr>
      </w:pPr>
    </w:p>
    <w:p w14:paraId="6725AD4F" w14:textId="77777777" w:rsidR="00CA2890" w:rsidRPr="00CA2890" w:rsidRDefault="00CA2890" w:rsidP="00CA2890">
      <w:pPr>
        <w:widowControl w:val="0"/>
        <w:autoSpaceDE w:val="0"/>
        <w:autoSpaceDN w:val="0"/>
        <w:adjustRightInd w:val="0"/>
        <w:ind w:firstLine="720"/>
        <w:jc w:val="both"/>
        <w:rPr>
          <w:rFonts w:asciiTheme="minorHAnsi" w:hAnsiTheme="minorHAnsi" w:cs="Arial"/>
        </w:rPr>
      </w:pPr>
      <w:r w:rsidRPr="00CA2890">
        <w:rPr>
          <w:rFonts w:asciiTheme="minorHAnsi" w:hAnsiTheme="minorHAnsi" w:cs="Arial"/>
        </w:rPr>
        <w:t xml:space="preserve">QMC: </w:t>
      </w:r>
      <w:hyperlink r:id="rId11" w:history="1">
        <w:r w:rsidRPr="00CA2890">
          <w:rPr>
            <w:rStyle w:val="Hyperlink"/>
            <w:rFonts w:asciiTheme="minorHAnsi" w:hAnsiTheme="minorHAnsi" w:cs="Arial"/>
            <w:color w:val="1F497D" w:themeColor="text2"/>
          </w:rPr>
          <w:t>TRANSFUSIONTEAM@NUH.NHS.UK</w:t>
        </w:r>
      </w:hyperlink>
    </w:p>
    <w:p w14:paraId="2B76A650" w14:textId="77777777" w:rsidR="00CA2890" w:rsidRPr="00CA2890" w:rsidRDefault="00CA2890" w:rsidP="00CA2890">
      <w:pPr>
        <w:ind w:firstLine="720"/>
        <w:rPr>
          <w:rFonts w:asciiTheme="minorHAnsi" w:hAnsiTheme="minorHAnsi"/>
          <w:color w:val="1F497D" w:themeColor="text2"/>
        </w:rPr>
      </w:pPr>
      <w:r w:rsidRPr="00CA2890">
        <w:rPr>
          <w:rFonts w:asciiTheme="minorHAnsi" w:hAnsiTheme="minorHAnsi" w:cs="Arial"/>
        </w:rPr>
        <w:t xml:space="preserve">UHCW: </w:t>
      </w:r>
      <w:hyperlink r:id="rId12" w:history="1">
        <w:r w:rsidRPr="00CA2890">
          <w:rPr>
            <w:rStyle w:val="Hyperlink"/>
            <w:rFonts w:asciiTheme="minorHAnsi" w:hAnsiTheme="minorHAnsi"/>
          </w:rPr>
          <w:t>GMBBLOODBANK@uhcw.nhs.uk</w:t>
        </w:r>
      </w:hyperlink>
    </w:p>
    <w:p w14:paraId="01D71326" w14:textId="77777777" w:rsidR="00CA2890" w:rsidRPr="00CA2890" w:rsidRDefault="00CA2890" w:rsidP="00CA2890">
      <w:pPr>
        <w:ind w:firstLine="720"/>
        <w:rPr>
          <w:rFonts w:asciiTheme="minorHAnsi" w:hAnsiTheme="minorHAnsi" w:cs="Arial"/>
          <w:color w:val="000000"/>
        </w:rPr>
      </w:pPr>
    </w:p>
    <w:p w14:paraId="3306423E" w14:textId="77777777" w:rsidR="00CA2890" w:rsidRDefault="00CA2890" w:rsidP="00CA2890">
      <w:pPr>
        <w:pStyle w:val="ListParagraph"/>
        <w:widowControl w:val="0"/>
        <w:numPr>
          <w:ilvl w:val="0"/>
          <w:numId w:val="33"/>
        </w:numPr>
        <w:autoSpaceDE w:val="0"/>
        <w:autoSpaceDN w:val="0"/>
        <w:adjustRightInd w:val="0"/>
        <w:contextualSpacing/>
        <w:jc w:val="both"/>
        <w:rPr>
          <w:rFonts w:asciiTheme="minorHAnsi" w:hAnsiTheme="minorHAnsi" w:cs="Arial"/>
          <w:sz w:val="24"/>
          <w:szCs w:val="24"/>
        </w:rPr>
      </w:pPr>
      <w:r w:rsidRPr="00CA2890">
        <w:rPr>
          <w:rFonts w:asciiTheme="minorHAnsi" w:hAnsiTheme="minorHAnsi" w:cs="Arial"/>
          <w:sz w:val="24"/>
          <w:szCs w:val="24"/>
        </w:rPr>
        <w:t xml:space="preserve">The TRS must be returned within 24 hours of blood transfusion. If the blood box is unopened and all blood components are being returned, then no TRS is necessary. The original TRS can be returned in the back pocket of the Credo blood box.  </w:t>
      </w:r>
    </w:p>
    <w:p w14:paraId="7CAF5F7F" w14:textId="77777777" w:rsidR="00CA2890" w:rsidRPr="00CA2890" w:rsidRDefault="00CA2890" w:rsidP="00CA2890">
      <w:pPr>
        <w:pStyle w:val="ListParagraph"/>
        <w:widowControl w:val="0"/>
        <w:autoSpaceDE w:val="0"/>
        <w:autoSpaceDN w:val="0"/>
        <w:adjustRightInd w:val="0"/>
        <w:contextualSpacing/>
        <w:jc w:val="both"/>
        <w:rPr>
          <w:rFonts w:asciiTheme="minorHAnsi" w:hAnsiTheme="minorHAnsi" w:cs="Arial"/>
          <w:sz w:val="24"/>
          <w:szCs w:val="24"/>
        </w:rPr>
      </w:pPr>
    </w:p>
    <w:p w14:paraId="1228092A" w14:textId="77777777" w:rsidR="00CA2890" w:rsidRPr="001D48D6" w:rsidRDefault="00CA2890" w:rsidP="00CA2890">
      <w:pPr>
        <w:pStyle w:val="ListParagraph"/>
        <w:widowControl w:val="0"/>
        <w:numPr>
          <w:ilvl w:val="0"/>
          <w:numId w:val="32"/>
        </w:numPr>
        <w:autoSpaceDE w:val="0"/>
        <w:autoSpaceDN w:val="0"/>
        <w:adjustRightInd w:val="0"/>
        <w:contextualSpacing/>
        <w:jc w:val="both"/>
        <w:rPr>
          <w:rFonts w:asciiTheme="minorHAnsi" w:hAnsiTheme="minorHAnsi" w:cs="Arial"/>
          <w:sz w:val="24"/>
          <w:szCs w:val="24"/>
        </w:rPr>
      </w:pPr>
      <w:r w:rsidRPr="00CA2890">
        <w:rPr>
          <w:rFonts w:asciiTheme="minorHAnsi" w:hAnsiTheme="minorHAnsi"/>
          <w:sz w:val="24"/>
          <w:szCs w:val="24"/>
        </w:rPr>
        <w:t xml:space="preserve">The responsibility for each individual blood transport box and its contents lies with the team from the base to which the box was issued. For example if both </w:t>
      </w:r>
      <w:proofErr w:type="spellStart"/>
      <w:r w:rsidRPr="00CA2890">
        <w:rPr>
          <w:rFonts w:asciiTheme="minorHAnsi" w:hAnsiTheme="minorHAnsi"/>
          <w:sz w:val="24"/>
          <w:szCs w:val="24"/>
        </w:rPr>
        <w:t>Helimed</w:t>
      </w:r>
      <w:proofErr w:type="spellEnd"/>
      <w:r w:rsidRPr="00CA2890">
        <w:rPr>
          <w:rFonts w:asciiTheme="minorHAnsi" w:hAnsiTheme="minorHAnsi"/>
          <w:sz w:val="24"/>
          <w:szCs w:val="24"/>
        </w:rPr>
        <w:t xml:space="preserve"> 54 and </w:t>
      </w:r>
      <w:proofErr w:type="spellStart"/>
      <w:r w:rsidRPr="00CA2890">
        <w:rPr>
          <w:rFonts w:asciiTheme="minorHAnsi" w:hAnsiTheme="minorHAnsi"/>
          <w:sz w:val="24"/>
          <w:szCs w:val="24"/>
        </w:rPr>
        <w:t>Helimed</w:t>
      </w:r>
      <w:proofErr w:type="spellEnd"/>
      <w:r w:rsidRPr="00CA2890">
        <w:rPr>
          <w:rFonts w:asciiTheme="minorHAnsi" w:hAnsiTheme="minorHAnsi"/>
          <w:sz w:val="24"/>
          <w:szCs w:val="24"/>
        </w:rPr>
        <w:t xml:space="preserve"> 53 are on scene, they will be responsible for all aspects of care and documentation of the specific transport box issued to their base. </w:t>
      </w:r>
    </w:p>
    <w:p w14:paraId="335DA485" w14:textId="77777777" w:rsidR="001D48D6" w:rsidRPr="00CA2890" w:rsidRDefault="001D48D6" w:rsidP="001D48D6">
      <w:pPr>
        <w:pStyle w:val="ListParagraph"/>
        <w:widowControl w:val="0"/>
        <w:autoSpaceDE w:val="0"/>
        <w:autoSpaceDN w:val="0"/>
        <w:adjustRightInd w:val="0"/>
        <w:contextualSpacing/>
        <w:jc w:val="both"/>
        <w:rPr>
          <w:rFonts w:asciiTheme="minorHAnsi" w:hAnsiTheme="minorHAnsi" w:cs="Arial"/>
          <w:sz w:val="24"/>
          <w:szCs w:val="24"/>
        </w:rPr>
      </w:pPr>
    </w:p>
    <w:p w14:paraId="24F44310" w14:textId="77777777" w:rsidR="00CA2890" w:rsidRPr="00CA2890" w:rsidRDefault="00CA2890" w:rsidP="00CA2890">
      <w:pPr>
        <w:pStyle w:val="ListParagraph"/>
        <w:widowControl w:val="0"/>
        <w:numPr>
          <w:ilvl w:val="0"/>
          <w:numId w:val="32"/>
        </w:numPr>
        <w:autoSpaceDE w:val="0"/>
        <w:autoSpaceDN w:val="0"/>
        <w:adjustRightInd w:val="0"/>
        <w:contextualSpacing/>
        <w:jc w:val="both"/>
        <w:rPr>
          <w:rFonts w:asciiTheme="minorHAnsi" w:hAnsiTheme="minorHAnsi"/>
          <w:sz w:val="24"/>
          <w:szCs w:val="24"/>
        </w:rPr>
      </w:pPr>
      <w:r w:rsidRPr="00CA2890">
        <w:rPr>
          <w:rFonts w:asciiTheme="minorHAnsi" w:hAnsiTheme="minorHAnsi"/>
          <w:sz w:val="24"/>
          <w:szCs w:val="24"/>
        </w:rPr>
        <w:t>If blood components from one box have been administered to two patients, then a TRS must be completed for each patient with the correct units on each.</w:t>
      </w:r>
    </w:p>
    <w:p w14:paraId="2A7D4454" w14:textId="77777777" w:rsidR="001D48D6" w:rsidRPr="00CA2890" w:rsidRDefault="001D48D6" w:rsidP="00CA2890">
      <w:pPr>
        <w:jc w:val="both"/>
        <w:rPr>
          <w:rFonts w:asciiTheme="minorHAnsi" w:hAnsiTheme="minorHAnsi" w:cs="Arial"/>
          <w:szCs w:val="24"/>
        </w:rPr>
      </w:pPr>
    </w:p>
    <w:p w14:paraId="0469CE79" w14:textId="77777777" w:rsidR="00CA2890" w:rsidRDefault="00CA2890" w:rsidP="00CA2890">
      <w:pPr>
        <w:jc w:val="both"/>
        <w:rPr>
          <w:rFonts w:asciiTheme="minorHAnsi" w:hAnsiTheme="minorHAnsi" w:cs="Arial"/>
          <w:b/>
          <w:szCs w:val="24"/>
        </w:rPr>
      </w:pPr>
      <w:r w:rsidRPr="00CA2890">
        <w:rPr>
          <w:rFonts w:asciiTheme="minorHAnsi" w:hAnsiTheme="minorHAnsi" w:cs="Arial"/>
          <w:b/>
          <w:szCs w:val="24"/>
        </w:rPr>
        <w:t>Handover at hospital</w:t>
      </w:r>
    </w:p>
    <w:p w14:paraId="22B32555" w14:textId="77777777" w:rsidR="001D48D6" w:rsidRPr="00CA2890" w:rsidRDefault="001D48D6" w:rsidP="00CA2890">
      <w:pPr>
        <w:jc w:val="both"/>
        <w:rPr>
          <w:rFonts w:asciiTheme="minorHAnsi" w:hAnsiTheme="minorHAnsi" w:cs="Arial"/>
          <w:b/>
          <w:szCs w:val="24"/>
        </w:rPr>
      </w:pPr>
    </w:p>
    <w:p w14:paraId="6A229C72" w14:textId="77777777" w:rsidR="00CA2890" w:rsidRDefault="00CA2890" w:rsidP="00CA2890">
      <w:pPr>
        <w:pStyle w:val="ListParagraph"/>
        <w:numPr>
          <w:ilvl w:val="0"/>
          <w:numId w:val="23"/>
        </w:numPr>
        <w:contextualSpacing/>
        <w:jc w:val="both"/>
        <w:rPr>
          <w:rFonts w:asciiTheme="minorHAnsi" w:eastAsia="Times New Roman" w:hAnsiTheme="minorHAnsi" w:cs="Arial"/>
          <w:color w:val="212121"/>
          <w:sz w:val="24"/>
          <w:szCs w:val="24"/>
          <w:shd w:val="clear" w:color="auto" w:fill="FFFFFF"/>
          <w:lang w:val="en-GB"/>
        </w:rPr>
      </w:pPr>
      <w:r w:rsidRPr="00CA2890">
        <w:rPr>
          <w:rFonts w:asciiTheme="minorHAnsi" w:eastAsia="Times New Roman" w:hAnsiTheme="minorHAnsi" w:cs="Arial"/>
          <w:color w:val="212121"/>
          <w:sz w:val="24"/>
          <w:szCs w:val="24"/>
          <w:shd w:val="clear" w:color="auto" w:fill="FFFFFF"/>
          <w:lang w:val="en-GB"/>
        </w:rPr>
        <w:t>Handover to the lead consultant at hospital must explicitly state that pre-hospital blood transfusion has occurred, in the ATMIST handover and after handover, before clearing. The receiving hospital will need to specify the prior administration of blood on the request form for the Group and save sample. This will save confusion in BTL in the case of mixed field reactions.</w:t>
      </w:r>
    </w:p>
    <w:p w14:paraId="4DABE70C" w14:textId="77777777" w:rsidR="001D48D6" w:rsidRPr="00CA2890" w:rsidRDefault="001D48D6" w:rsidP="001D48D6">
      <w:pPr>
        <w:pStyle w:val="ListParagraph"/>
        <w:contextualSpacing/>
        <w:jc w:val="both"/>
        <w:rPr>
          <w:rFonts w:asciiTheme="minorHAnsi" w:eastAsia="Times New Roman" w:hAnsiTheme="minorHAnsi" w:cs="Arial"/>
          <w:color w:val="212121"/>
          <w:sz w:val="24"/>
          <w:szCs w:val="24"/>
          <w:shd w:val="clear" w:color="auto" w:fill="FFFFFF"/>
          <w:lang w:val="en-GB"/>
        </w:rPr>
      </w:pPr>
    </w:p>
    <w:p w14:paraId="4CD8ACDC" w14:textId="77777777" w:rsidR="00CA2890" w:rsidRDefault="00CA2890" w:rsidP="00CA2890">
      <w:pPr>
        <w:pStyle w:val="ListParagraph"/>
        <w:numPr>
          <w:ilvl w:val="0"/>
          <w:numId w:val="23"/>
        </w:numPr>
        <w:contextualSpacing/>
        <w:jc w:val="both"/>
        <w:rPr>
          <w:rFonts w:asciiTheme="minorHAnsi" w:eastAsia="Times New Roman" w:hAnsiTheme="minorHAnsi" w:cs="Arial"/>
          <w:color w:val="212121"/>
          <w:sz w:val="24"/>
          <w:szCs w:val="24"/>
          <w:shd w:val="clear" w:color="auto" w:fill="FFFFFF"/>
          <w:lang w:val="en-GB"/>
        </w:rPr>
      </w:pPr>
      <w:r w:rsidRPr="00CA2890">
        <w:rPr>
          <w:rFonts w:asciiTheme="minorHAnsi" w:eastAsia="Times New Roman" w:hAnsiTheme="minorHAnsi" w:cs="Arial"/>
          <w:color w:val="212121"/>
          <w:sz w:val="24"/>
          <w:szCs w:val="24"/>
          <w:shd w:val="clear" w:color="auto" w:fill="FFFFFF"/>
          <w:lang w:val="en-GB"/>
        </w:rPr>
        <w:t xml:space="preserve">The TAAS crew should ring the BTL themselves from the resus phone with the patients new hospital number to ensure the message is passed that the patient has received prehospital blood. </w:t>
      </w:r>
    </w:p>
    <w:p w14:paraId="56CBA7E7" w14:textId="77777777" w:rsidR="001D48D6" w:rsidRPr="001D48D6" w:rsidRDefault="001D48D6" w:rsidP="001D48D6">
      <w:pPr>
        <w:contextualSpacing/>
        <w:jc w:val="both"/>
        <w:rPr>
          <w:rFonts w:asciiTheme="minorHAnsi" w:hAnsiTheme="minorHAnsi" w:cs="Arial"/>
          <w:color w:val="212121"/>
          <w:szCs w:val="24"/>
          <w:shd w:val="clear" w:color="auto" w:fill="FFFFFF"/>
        </w:rPr>
      </w:pPr>
    </w:p>
    <w:p w14:paraId="2F6C5FE5" w14:textId="77777777" w:rsidR="00CA2890" w:rsidRDefault="00CA2890" w:rsidP="00CA2890">
      <w:pPr>
        <w:pStyle w:val="ListParagraph"/>
        <w:numPr>
          <w:ilvl w:val="0"/>
          <w:numId w:val="23"/>
        </w:numPr>
        <w:contextualSpacing/>
        <w:jc w:val="both"/>
        <w:rPr>
          <w:rFonts w:asciiTheme="minorHAnsi" w:hAnsiTheme="minorHAnsi" w:cs="Arial"/>
          <w:b/>
          <w:bCs/>
          <w:sz w:val="24"/>
          <w:szCs w:val="24"/>
        </w:rPr>
      </w:pPr>
      <w:r w:rsidRPr="00CA2890">
        <w:rPr>
          <w:rFonts w:asciiTheme="minorHAnsi" w:hAnsiTheme="minorHAnsi" w:cs="Arial"/>
          <w:sz w:val="24"/>
          <w:szCs w:val="24"/>
        </w:rPr>
        <w:t xml:space="preserve">Unused units of </w:t>
      </w:r>
      <w:proofErr w:type="spellStart"/>
      <w:r w:rsidRPr="00CA2890">
        <w:rPr>
          <w:rFonts w:asciiTheme="minorHAnsi" w:hAnsiTheme="minorHAnsi" w:cs="Arial"/>
          <w:sz w:val="24"/>
          <w:szCs w:val="24"/>
        </w:rPr>
        <w:t>pRBC</w:t>
      </w:r>
      <w:proofErr w:type="spellEnd"/>
      <w:r w:rsidRPr="00CA2890">
        <w:rPr>
          <w:rFonts w:asciiTheme="minorHAnsi" w:hAnsiTheme="minorHAnsi" w:cs="Arial"/>
          <w:sz w:val="24"/>
          <w:szCs w:val="24"/>
        </w:rPr>
        <w:t xml:space="preserve"> or FFP </w:t>
      </w:r>
      <w:r w:rsidRPr="00CA2890">
        <w:rPr>
          <w:rFonts w:asciiTheme="minorHAnsi" w:hAnsiTheme="minorHAnsi" w:cs="Arial"/>
          <w:b/>
          <w:bCs/>
          <w:sz w:val="24"/>
          <w:szCs w:val="24"/>
        </w:rPr>
        <w:t>must not</w:t>
      </w:r>
      <w:r w:rsidRPr="00CA2890">
        <w:rPr>
          <w:rFonts w:asciiTheme="minorHAnsi" w:hAnsiTheme="minorHAnsi" w:cs="Arial"/>
          <w:sz w:val="24"/>
          <w:szCs w:val="24"/>
        </w:rPr>
        <w:t xml:space="preserve"> be passed to the receiving hospital and must be kept in the blood box. If the hospital does not have blood components immediately available for an exsanguinating patient, the </w:t>
      </w:r>
      <w:r w:rsidRPr="00CA2890">
        <w:rPr>
          <w:rFonts w:asciiTheme="minorHAnsi" w:hAnsiTheme="minorHAnsi" w:cs="Arial"/>
          <w:b/>
          <w:bCs/>
          <w:sz w:val="24"/>
          <w:szCs w:val="24"/>
        </w:rPr>
        <w:t>TAAS clinician must stay with the blood until it has been administered and record this on the TRS as a prehospital transfusion.</w:t>
      </w:r>
    </w:p>
    <w:p w14:paraId="445008D6" w14:textId="77777777" w:rsidR="001D48D6" w:rsidRPr="001D48D6" w:rsidRDefault="001D48D6" w:rsidP="001D48D6">
      <w:pPr>
        <w:contextualSpacing/>
        <w:jc w:val="both"/>
        <w:rPr>
          <w:rFonts w:asciiTheme="minorHAnsi" w:hAnsiTheme="minorHAnsi" w:cs="Arial"/>
          <w:b/>
          <w:bCs/>
          <w:szCs w:val="24"/>
        </w:rPr>
      </w:pPr>
    </w:p>
    <w:p w14:paraId="6BA7A436" w14:textId="77777777" w:rsidR="00CA2890" w:rsidRPr="00CA2890" w:rsidRDefault="00CA2890" w:rsidP="00CA2890">
      <w:pPr>
        <w:pStyle w:val="ListParagraph"/>
        <w:numPr>
          <w:ilvl w:val="0"/>
          <w:numId w:val="23"/>
        </w:numPr>
        <w:contextualSpacing/>
        <w:jc w:val="both"/>
        <w:rPr>
          <w:rFonts w:asciiTheme="minorHAnsi" w:hAnsiTheme="minorHAnsi" w:cs="Arial"/>
          <w:bCs/>
          <w:sz w:val="24"/>
          <w:szCs w:val="24"/>
        </w:rPr>
      </w:pPr>
      <w:r w:rsidRPr="00CA2890">
        <w:rPr>
          <w:rFonts w:asciiTheme="minorHAnsi" w:hAnsiTheme="minorHAnsi" w:cs="Arial"/>
          <w:bCs/>
          <w:sz w:val="24"/>
          <w:szCs w:val="24"/>
        </w:rPr>
        <w:t xml:space="preserve">Used blood bags should be retained in a clinical waste bag until the TRS has been completed. Used blood bags should be disposed of in an appropriate clinical waste bin. </w:t>
      </w:r>
    </w:p>
    <w:p w14:paraId="1953AB86" w14:textId="77777777" w:rsidR="00CA2890" w:rsidRPr="00CA2890" w:rsidRDefault="00CA2890" w:rsidP="00CA2890">
      <w:pPr>
        <w:pStyle w:val="Default"/>
        <w:jc w:val="both"/>
        <w:rPr>
          <w:rFonts w:asciiTheme="minorHAnsi" w:hAnsiTheme="minorHAnsi"/>
        </w:rPr>
      </w:pPr>
    </w:p>
    <w:p w14:paraId="39E7E98E" w14:textId="77777777" w:rsidR="00CA2890" w:rsidRDefault="00CA2890" w:rsidP="00CA2890">
      <w:pPr>
        <w:pStyle w:val="Default"/>
        <w:jc w:val="both"/>
        <w:rPr>
          <w:rFonts w:asciiTheme="minorHAnsi" w:hAnsiTheme="minorHAnsi"/>
          <w:b/>
          <w:bCs/>
        </w:rPr>
      </w:pPr>
      <w:r w:rsidRPr="00CA2890">
        <w:rPr>
          <w:rFonts w:asciiTheme="minorHAnsi" w:hAnsiTheme="minorHAnsi"/>
          <w:b/>
          <w:bCs/>
        </w:rPr>
        <w:t>Acute transfusion reactions</w:t>
      </w:r>
    </w:p>
    <w:p w14:paraId="46FDCA72" w14:textId="77777777" w:rsidR="001D48D6" w:rsidRPr="00CA2890" w:rsidRDefault="001D48D6" w:rsidP="00CA2890">
      <w:pPr>
        <w:pStyle w:val="Default"/>
        <w:jc w:val="both"/>
        <w:rPr>
          <w:rFonts w:asciiTheme="minorHAnsi" w:hAnsiTheme="minorHAnsi"/>
        </w:rPr>
      </w:pPr>
    </w:p>
    <w:p w14:paraId="10F7B711" w14:textId="77777777" w:rsidR="00CA2890" w:rsidRDefault="00CA2890" w:rsidP="00CA2890">
      <w:pPr>
        <w:pStyle w:val="Default"/>
        <w:numPr>
          <w:ilvl w:val="0"/>
          <w:numId w:val="30"/>
        </w:numPr>
        <w:jc w:val="both"/>
        <w:rPr>
          <w:rFonts w:asciiTheme="minorHAnsi" w:hAnsiTheme="minorHAnsi"/>
        </w:rPr>
      </w:pPr>
      <w:r w:rsidRPr="00CA2890">
        <w:rPr>
          <w:rFonts w:asciiTheme="minorHAnsi" w:hAnsiTheme="minorHAnsi"/>
        </w:rPr>
        <w:t xml:space="preserve">All clinicians must be vigilant for signs of severe acute transfusion reactions (ATRs). These will be covered in annual training. It may be challenging to identify these signs in patients who are already critically unwell but should be suspected if there is any sudden deterioration after starting transfusion </w:t>
      </w:r>
      <w:proofErr w:type="spellStart"/>
      <w:r w:rsidRPr="00CA2890">
        <w:rPr>
          <w:rFonts w:asciiTheme="minorHAnsi" w:hAnsiTheme="minorHAnsi"/>
        </w:rPr>
        <w:t>eg</w:t>
      </w:r>
      <w:proofErr w:type="spellEnd"/>
      <w:r w:rsidRPr="00CA2890">
        <w:rPr>
          <w:rFonts w:asciiTheme="minorHAnsi" w:hAnsiTheme="minorHAnsi"/>
        </w:rPr>
        <w:t xml:space="preserve"> increased pulse, low BP, wheeze, hypoxia, rash, increased temperature. </w:t>
      </w:r>
    </w:p>
    <w:p w14:paraId="114C577A" w14:textId="77777777" w:rsidR="001D48D6" w:rsidRPr="00CA2890" w:rsidRDefault="001D48D6" w:rsidP="001D48D6">
      <w:pPr>
        <w:pStyle w:val="Default"/>
        <w:ind w:left="720"/>
        <w:jc w:val="both"/>
        <w:rPr>
          <w:rFonts w:asciiTheme="minorHAnsi" w:hAnsiTheme="minorHAnsi"/>
        </w:rPr>
      </w:pPr>
    </w:p>
    <w:p w14:paraId="0A36CFC9" w14:textId="77777777" w:rsidR="00CA2890" w:rsidRDefault="00CA2890" w:rsidP="00CA2890">
      <w:pPr>
        <w:pStyle w:val="Default"/>
        <w:numPr>
          <w:ilvl w:val="0"/>
          <w:numId w:val="30"/>
        </w:numPr>
        <w:jc w:val="both"/>
        <w:rPr>
          <w:rFonts w:asciiTheme="minorHAnsi" w:hAnsiTheme="minorHAnsi"/>
        </w:rPr>
      </w:pPr>
      <w:r w:rsidRPr="00CA2890">
        <w:rPr>
          <w:rFonts w:asciiTheme="minorHAnsi" w:hAnsiTheme="minorHAnsi"/>
        </w:rPr>
        <w:t xml:space="preserve">If in doubt STOP the transfusion and retain the giving set and unit of blood/FFP for testing. Report the effects at the receiving hospital and hand over the unit of blood/FFP for testing at the receiving hospital. </w:t>
      </w:r>
    </w:p>
    <w:p w14:paraId="38C4918D" w14:textId="77777777" w:rsidR="001D48D6" w:rsidRPr="00CA2890" w:rsidRDefault="001D48D6" w:rsidP="001D48D6">
      <w:pPr>
        <w:pStyle w:val="Default"/>
        <w:jc w:val="both"/>
        <w:rPr>
          <w:rFonts w:asciiTheme="minorHAnsi" w:hAnsiTheme="minorHAnsi"/>
        </w:rPr>
      </w:pPr>
    </w:p>
    <w:p w14:paraId="73CE05DE" w14:textId="77777777" w:rsidR="00CA2890" w:rsidRDefault="00CA2890" w:rsidP="00CA2890">
      <w:pPr>
        <w:pStyle w:val="Default"/>
        <w:numPr>
          <w:ilvl w:val="0"/>
          <w:numId w:val="30"/>
        </w:numPr>
        <w:jc w:val="both"/>
        <w:rPr>
          <w:rFonts w:asciiTheme="minorHAnsi" w:hAnsiTheme="minorHAnsi"/>
        </w:rPr>
      </w:pPr>
      <w:r w:rsidRPr="00CA2890">
        <w:rPr>
          <w:rFonts w:asciiTheme="minorHAnsi" w:hAnsiTheme="minorHAnsi"/>
        </w:rPr>
        <w:t xml:space="preserve">Treat anaphylaxis as per the Resus Council guidelines and treat urticarial rash from allergic reaction with Chlorpheniramine IV. </w:t>
      </w:r>
    </w:p>
    <w:p w14:paraId="62769AB3" w14:textId="77777777" w:rsidR="001D48D6" w:rsidRPr="00CA2890" w:rsidRDefault="001D48D6" w:rsidP="001D48D6">
      <w:pPr>
        <w:pStyle w:val="Default"/>
        <w:jc w:val="both"/>
        <w:rPr>
          <w:rFonts w:asciiTheme="minorHAnsi" w:hAnsiTheme="minorHAnsi"/>
        </w:rPr>
      </w:pPr>
    </w:p>
    <w:p w14:paraId="41C40A2A" w14:textId="77777777" w:rsidR="00CA2890" w:rsidRPr="001D48D6" w:rsidRDefault="00CA2890" w:rsidP="00CA2890">
      <w:pPr>
        <w:pStyle w:val="ListParagraph"/>
        <w:numPr>
          <w:ilvl w:val="0"/>
          <w:numId w:val="30"/>
        </w:numPr>
        <w:contextualSpacing/>
        <w:jc w:val="both"/>
        <w:rPr>
          <w:rFonts w:asciiTheme="minorHAnsi" w:hAnsiTheme="minorHAnsi" w:cs="Arial"/>
          <w:sz w:val="24"/>
          <w:szCs w:val="24"/>
        </w:rPr>
      </w:pPr>
      <w:r w:rsidRPr="00CA2890">
        <w:rPr>
          <w:rFonts w:asciiTheme="minorHAnsi" w:hAnsiTheme="minorHAnsi"/>
          <w:sz w:val="24"/>
          <w:szCs w:val="24"/>
          <w:lang w:val="en-GB"/>
        </w:rPr>
        <w:t xml:space="preserve">All serious adverse reactions or events as detailed by the MHRA in their guidance on reporting to SABRE will be notified by The Air Ambulance Service to the distributing BTL at QMC/UHCW. The hospital transfusion team will be responsible for generating a SABRE for SHOT. </w:t>
      </w:r>
    </w:p>
    <w:p w14:paraId="21049B6B" w14:textId="77777777" w:rsidR="001D48D6" w:rsidRPr="001D48D6" w:rsidRDefault="001D48D6" w:rsidP="001D48D6">
      <w:pPr>
        <w:contextualSpacing/>
        <w:jc w:val="both"/>
        <w:rPr>
          <w:rFonts w:asciiTheme="minorHAnsi" w:hAnsiTheme="minorHAnsi" w:cs="Arial"/>
          <w:szCs w:val="24"/>
        </w:rPr>
      </w:pPr>
    </w:p>
    <w:p w14:paraId="18C6B21F" w14:textId="77777777" w:rsidR="00CA2890" w:rsidRPr="00CA2890" w:rsidRDefault="00CA2890" w:rsidP="00CA2890">
      <w:pPr>
        <w:pStyle w:val="ListParagraph"/>
        <w:widowControl w:val="0"/>
        <w:numPr>
          <w:ilvl w:val="0"/>
          <w:numId w:val="30"/>
        </w:numPr>
        <w:autoSpaceDE w:val="0"/>
        <w:autoSpaceDN w:val="0"/>
        <w:adjustRightInd w:val="0"/>
        <w:contextualSpacing/>
        <w:jc w:val="both"/>
        <w:rPr>
          <w:rFonts w:asciiTheme="minorHAnsi" w:hAnsiTheme="minorHAnsi" w:cs="Arial"/>
          <w:sz w:val="24"/>
          <w:szCs w:val="24"/>
        </w:rPr>
      </w:pPr>
      <w:r w:rsidRPr="00CA2890">
        <w:rPr>
          <w:rFonts w:asciiTheme="minorHAnsi" w:hAnsiTheme="minorHAnsi" w:cs="Arial"/>
          <w:sz w:val="24"/>
          <w:szCs w:val="24"/>
        </w:rPr>
        <w:t xml:space="preserve">Any incidents arising from prehospital emergency blood transfusion must be reported via the TAAS IR1 system and the TAAS clinician leads for blood transfusion notified. </w:t>
      </w:r>
    </w:p>
    <w:p w14:paraId="19ABFFF8" w14:textId="77777777" w:rsidR="00CA2890" w:rsidRPr="00CA2890" w:rsidRDefault="00CA2890" w:rsidP="00CA2890">
      <w:pPr>
        <w:pStyle w:val="ListParagraph"/>
        <w:jc w:val="both"/>
        <w:rPr>
          <w:rFonts w:asciiTheme="minorHAnsi" w:hAnsiTheme="minorHAnsi" w:cs="Arial"/>
        </w:rPr>
      </w:pPr>
    </w:p>
    <w:p w14:paraId="7687831D" w14:textId="77777777" w:rsidR="00CA2890" w:rsidRPr="00CA2890" w:rsidRDefault="00CA2890" w:rsidP="00CA2890">
      <w:pPr>
        <w:widowControl w:val="0"/>
        <w:autoSpaceDE w:val="0"/>
        <w:autoSpaceDN w:val="0"/>
        <w:adjustRightInd w:val="0"/>
        <w:jc w:val="both"/>
        <w:rPr>
          <w:rFonts w:asciiTheme="minorHAnsi" w:hAnsiTheme="minorHAnsi" w:cs="Arial"/>
          <w:b/>
          <w:bCs/>
          <w:color w:val="000000"/>
          <w:sz w:val="22"/>
          <w:szCs w:val="22"/>
        </w:rPr>
      </w:pPr>
    </w:p>
    <w:p w14:paraId="47BDEE50" w14:textId="77777777" w:rsidR="00CA2890" w:rsidRPr="00CA2890" w:rsidRDefault="00CA2890" w:rsidP="00CA2890">
      <w:pPr>
        <w:widowControl w:val="0"/>
        <w:autoSpaceDE w:val="0"/>
        <w:autoSpaceDN w:val="0"/>
        <w:adjustRightInd w:val="0"/>
        <w:jc w:val="both"/>
        <w:rPr>
          <w:rFonts w:asciiTheme="minorHAnsi" w:hAnsiTheme="minorHAnsi" w:cs="Arial"/>
          <w:color w:val="000000"/>
          <w:szCs w:val="24"/>
        </w:rPr>
      </w:pPr>
      <w:r w:rsidRPr="00CA2890">
        <w:rPr>
          <w:rFonts w:asciiTheme="minorHAnsi" w:hAnsiTheme="minorHAnsi" w:cs="Arial"/>
          <w:b/>
          <w:bCs/>
          <w:color w:val="000000"/>
          <w:szCs w:val="24"/>
        </w:rPr>
        <w:t xml:space="preserve">Recall </w:t>
      </w:r>
    </w:p>
    <w:p w14:paraId="7C838312" w14:textId="77777777" w:rsidR="001D48D6" w:rsidRDefault="001D48D6" w:rsidP="00CA2890">
      <w:pPr>
        <w:widowControl w:val="0"/>
        <w:autoSpaceDE w:val="0"/>
        <w:autoSpaceDN w:val="0"/>
        <w:adjustRightInd w:val="0"/>
        <w:jc w:val="both"/>
        <w:rPr>
          <w:rFonts w:asciiTheme="minorHAnsi" w:hAnsiTheme="minorHAnsi" w:cs="Arial"/>
          <w:color w:val="000000"/>
          <w:szCs w:val="24"/>
        </w:rPr>
      </w:pPr>
    </w:p>
    <w:p w14:paraId="5C6C59CA" w14:textId="77777777" w:rsidR="00CA2890" w:rsidRDefault="00CA2890" w:rsidP="00CA2890">
      <w:pPr>
        <w:widowControl w:val="0"/>
        <w:autoSpaceDE w:val="0"/>
        <w:autoSpaceDN w:val="0"/>
        <w:adjustRightInd w:val="0"/>
        <w:jc w:val="both"/>
        <w:rPr>
          <w:rFonts w:asciiTheme="minorHAnsi" w:hAnsiTheme="minorHAnsi" w:cs="Arial"/>
          <w:color w:val="000000"/>
          <w:szCs w:val="24"/>
        </w:rPr>
      </w:pPr>
      <w:r w:rsidRPr="00CA2890">
        <w:rPr>
          <w:rFonts w:asciiTheme="minorHAnsi" w:hAnsiTheme="minorHAnsi" w:cs="Arial"/>
          <w:color w:val="000000"/>
          <w:szCs w:val="24"/>
        </w:rPr>
        <w:t>It is a requirement of the Blood Safety and Quality Regulations (SI 2005 50) that all blood components that are considered to pose a risk to patients, are withdrawn from use. Recall may be internal or external. In both cases, the blood components must be withdrawn rapidly from use ensuring that patients are not placed at risk. If a recall notification is received TAAS duty crews must:</w:t>
      </w:r>
    </w:p>
    <w:p w14:paraId="43BD7559" w14:textId="77777777" w:rsidR="00CA2890" w:rsidRPr="00CA2890" w:rsidRDefault="00CA2890" w:rsidP="00CA2890">
      <w:pPr>
        <w:widowControl w:val="0"/>
        <w:autoSpaceDE w:val="0"/>
        <w:autoSpaceDN w:val="0"/>
        <w:adjustRightInd w:val="0"/>
        <w:jc w:val="both"/>
        <w:rPr>
          <w:rFonts w:asciiTheme="minorHAnsi" w:hAnsiTheme="minorHAnsi" w:cs="Arial"/>
          <w:color w:val="000000"/>
          <w:szCs w:val="24"/>
        </w:rPr>
      </w:pPr>
      <w:r w:rsidRPr="00CA2890">
        <w:rPr>
          <w:rFonts w:asciiTheme="minorHAnsi" w:hAnsiTheme="minorHAnsi" w:cs="Arial"/>
          <w:color w:val="000000"/>
          <w:szCs w:val="24"/>
        </w:rPr>
        <w:t>• Quarantine the blood transport box and all contents.</w:t>
      </w:r>
    </w:p>
    <w:p w14:paraId="564B9E70" w14:textId="77777777" w:rsidR="00CA2890" w:rsidRPr="00CA2890" w:rsidRDefault="00CA2890" w:rsidP="00CA2890">
      <w:pPr>
        <w:widowControl w:val="0"/>
        <w:autoSpaceDE w:val="0"/>
        <w:autoSpaceDN w:val="0"/>
        <w:adjustRightInd w:val="0"/>
        <w:jc w:val="both"/>
        <w:rPr>
          <w:rFonts w:asciiTheme="minorHAnsi" w:hAnsiTheme="minorHAnsi" w:cs="Arial"/>
          <w:color w:val="000000"/>
          <w:szCs w:val="24"/>
        </w:rPr>
      </w:pPr>
      <w:r w:rsidRPr="00CA2890">
        <w:rPr>
          <w:rFonts w:asciiTheme="minorHAnsi" w:hAnsiTheme="minorHAnsi" w:cs="Arial"/>
          <w:color w:val="000000"/>
          <w:szCs w:val="24"/>
        </w:rPr>
        <w:t xml:space="preserve">• Return the box to the distributing BTL for testing and investigation. </w:t>
      </w:r>
    </w:p>
    <w:p w14:paraId="2E0A16FD" w14:textId="77777777" w:rsidR="00CA2890" w:rsidRPr="00CA2890" w:rsidRDefault="00CA2890" w:rsidP="00CA2890">
      <w:pPr>
        <w:widowControl w:val="0"/>
        <w:autoSpaceDE w:val="0"/>
        <w:autoSpaceDN w:val="0"/>
        <w:adjustRightInd w:val="0"/>
        <w:jc w:val="both"/>
        <w:rPr>
          <w:rFonts w:asciiTheme="minorHAnsi" w:hAnsiTheme="minorHAnsi" w:cs="Arial"/>
          <w:b/>
          <w:bCs/>
          <w:color w:val="000000"/>
          <w:szCs w:val="24"/>
        </w:rPr>
      </w:pPr>
    </w:p>
    <w:p w14:paraId="5420BBC1" w14:textId="77777777" w:rsidR="00CA2890" w:rsidRPr="00CA2890" w:rsidRDefault="00CA2890" w:rsidP="00CA2890">
      <w:pPr>
        <w:widowControl w:val="0"/>
        <w:autoSpaceDE w:val="0"/>
        <w:autoSpaceDN w:val="0"/>
        <w:adjustRightInd w:val="0"/>
        <w:jc w:val="both"/>
        <w:rPr>
          <w:rFonts w:asciiTheme="minorHAnsi" w:hAnsiTheme="minorHAnsi" w:cs="Arial"/>
          <w:b/>
          <w:bCs/>
          <w:i/>
          <w:color w:val="000000"/>
          <w:szCs w:val="24"/>
        </w:rPr>
      </w:pPr>
      <w:r w:rsidRPr="00CA2890">
        <w:rPr>
          <w:rFonts w:asciiTheme="minorHAnsi" w:hAnsiTheme="minorHAnsi" w:cs="Arial"/>
          <w:b/>
          <w:bCs/>
          <w:i/>
          <w:color w:val="000000"/>
          <w:szCs w:val="24"/>
        </w:rPr>
        <w:t xml:space="preserve">Internal Recall </w:t>
      </w:r>
    </w:p>
    <w:p w14:paraId="06CFBEC6" w14:textId="77777777" w:rsidR="00CA2890" w:rsidRPr="00CA2890" w:rsidRDefault="00CA2890" w:rsidP="00CA2890">
      <w:pPr>
        <w:widowControl w:val="0"/>
        <w:autoSpaceDE w:val="0"/>
        <w:autoSpaceDN w:val="0"/>
        <w:adjustRightInd w:val="0"/>
        <w:jc w:val="both"/>
        <w:rPr>
          <w:rFonts w:asciiTheme="minorHAnsi" w:hAnsiTheme="minorHAnsi" w:cs="Arial"/>
          <w:color w:val="000000"/>
          <w:szCs w:val="24"/>
        </w:rPr>
      </w:pPr>
      <w:r w:rsidRPr="00CA2890">
        <w:rPr>
          <w:rFonts w:asciiTheme="minorHAnsi" w:hAnsiTheme="minorHAnsi" w:cs="Arial"/>
          <w:bCs/>
          <w:color w:val="000000"/>
          <w:szCs w:val="24"/>
        </w:rPr>
        <w:t>Examples include:</w:t>
      </w:r>
    </w:p>
    <w:p w14:paraId="6AD6555E" w14:textId="77777777" w:rsidR="00CA2890" w:rsidRPr="00CA2890" w:rsidRDefault="00CA2890" w:rsidP="00CA2890">
      <w:pPr>
        <w:pStyle w:val="ListParagraph"/>
        <w:widowControl w:val="0"/>
        <w:numPr>
          <w:ilvl w:val="0"/>
          <w:numId w:val="34"/>
        </w:numPr>
        <w:autoSpaceDE w:val="0"/>
        <w:autoSpaceDN w:val="0"/>
        <w:adjustRightInd w:val="0"/>
        <w:contextualSpacing/>
        <w:jc w:val="both"/>
        <w:rPr>
          <w:rFonts w:asciiTheme="minorHAnsi" w:hAnsiTheme="minorHAnsi" w:cs="Arial"/>
          <w:sz w:val="24"/>
          <w:szCs w:val="24"/>
        </w:rPr>
      </w:pPr>
      <w:r w:rsidRPr="00CA2890">
        <w:rPr>
          <w:rFonts w:asciiTheme="minorHAnsi" w:hAnsiTheme="minorHAnsi" w:cs="Arial"/>
          <w:sz w:val="24"/>
          <w:szCs w:val="24"/>
        </w:rPr>
        <w:t xml:space="preserve">Suspected Transfusion Reaction – during transfusing or post transfusion. </w:t>
      </w:r>
    </w:p>
    <w:p w14:paraId="3B95F421" w14:textId="77777777" w:rsidR="00CA2890" w:rsidRPr="00CA2890" w:rsidRDefault="00CA2890" w:rsidP="00CA2890">
      <w:pPr>
        <w:pStyle w:val="ListParagraph"/>
        <w:widowControl w:val="0"/>
        <w:numPr>
          <w:ilvl w:val="0"/>
          <w:numId w:val="34"/>
        </w:numPr>
        <w:autoSpaceDE w:val="0"/>
        <w:autoSpaceDN w:val="0"/>
        <w:adjustRightInd w:val="0"/>
        <w:contextualSpacing/>
        <w:jc w:val="both"/>
        <w:rPr>
          <w:rFonts w:asciiTheme="minorHAnsi" w:hAnsiTheme="minorHAnsi" w:cs="Arial"/>
          <w:sz w:val="24"/>
          <w:szCs w:val="24"/>
        </w:rPr>
      </w:pPr>
      <w:r w:rsidRPr="00CA2890">
        <w:rPr>
          <w:rFonts w:asciiTheme="minorHAnsi" w:hAnsiTheme="minorHAnsi" w:cs="Arial"/>
          <w:sz w:val="24"/>
          <w:szCs w:val="24"/>
        </w:rPr>
        <w:t xml:space="preserve">Failure of Cold Chain – the box has been left opened (approaching, at or over 30 minutes) and there is a risk to the cold chain. </w:t>
      </w:r>
    </w:p>
    <w:p w14:paraId="02C36EEF" w14:textId="77777777" w:rsidR="00CA2890" w:rsidRPr="00CA2890" w:rsidRDefault="00CA2890" w:rsidP="00CA2890">
      <w:pPr>
        <w:pStyle w:val="ListParagraph"/>
        <w:widowControl w:val="0"/>
        <w:numPr>
          <w:ilvl w:val="0"/>
          <w:numId w:val="34"/>
        </w:numPr>
        <w:autoSpaceDE w:val="0"/>
        <w:autoSpaceDN w:val="0"/>
        <w:adjustRightInd w:val="0"/>
        <w:contextualSpacing/>
        <w:jc w:val="both"/>
        <w:rPr>
          <w:rFonts w:asciiTheme="minorHAnsi" w:hAnsiTheme="minorHAnsi" w:cs="Arial"/>
          <w:sz w:val="24"/>
          <w:szCs w:val="24"/>
        </w:rPr>
      </w:pPr>
      <w:r w:rsidRPr="00CA2890">
        <w:rPr>
          <w:rFonts w:asciiTheme="minorHAnsi" w:hAnsiTheme="minorHAnsi" w:cs="Arial"/>
          <w:sz w:val="24"/>
          <w:szCs w:val="24"/>
        </w:rPr>
        <w:t>Laboratory error - unit issued may be incorrect</w:t>
      </w:r>
    </w:p>
    <w:p w14:paraId="1E836B3E" w14:textId="77777777" w:rsidR="00CA2890" w:rsidRPr="00CA2890" w:rsidRDefault="00CA2890" w:rsidP="00CA2890">
      <w:pPr>
        <w:pStyle w:val="ListParagraph"/>
        <w:widowControl w:val="0"/>
        <w:numPr>
          <w:ilvl w:val="0"/>
          <w:numId w:val="34"/>
        </w:numPr>
        <w:autoSpaceDE w:val="0"/>
        <w:autoSpaceDN w:val="0"/>
        <w:adjustRightInd w:val="0"/>
        <w:contextualSpacing/>
        <w:jc w:val="both"/>
        <w:rPr>
          <w:rFonts w:asciiTheme="minorHAnsi" w:hAnsiTheme="minorHAnsi" w:cs="Arial"/>
          <w:sz w:val="24"/>
          <w:szCs w:val="24"/>
        </w:rPr>
      </w:pPr>
      <w:r w:rsidRPr="00CA2890">
        <w:rPr>
          <w:rFonts w:asciiTheme="minorHAnsi" w:hAnsiTheme="minorHAnsi" w:cs="Arial"/>
          <w:sz w:val="24"/>
          <w:szCs w:val="24"/>
        </w:rPr>
        <w:t>A unit of blood has leaked and contaminated the other units</w:t>
      </w:r>
    </w:p>
    <w:p w14:paraId="32B5E7A4" w14:textId="77777777" w:rsidR="00CA2890" w:rsidRPr="00CA2890" w:rsidRDefault="00CA2890" w:rsidP="00CA2890">
      <w:pPr>
        <w:widowControl w:val="0"/>
        <w:autoSpaceDE w:val="0"/>
        <w:autoSpaceDN w:val="0"/>
        <w:adjustRightInd w:val="0"/>
        <w:jc w:val="both"/>
        <w:rPr>
          <w:rFonts w:asciiTheme="minorHAnsi" w:hAnsiTheme="minorHAnsi" w:cs="Arial"/>
          <w:color w:val="000000"/>
          <w:szCs w:val="24"/>
        </w:rPr>
      </w:pPr>
    </w:p>
    <w:p w14:paraId="07845F50" w14:textId="77777777" w:rsidR="00CA2890" w:rsidRPr="00CA2890" w:rsidRDefault="00CA2890" w:rsidP="00CA2890">
      <w:pPr>
        <w:widowControl w:val="0"/>
        <w:autoSpaceDE w:val="0"/>
        <w:autoSpaceDN w:val="0"/>
        <w:adjustRightInd w:val="0"/>
        <w:jc w:val="both"/>
        <w:rPr>
          <w:rFonts w:asciiTheme="minorHAnsi" w:hAnsiTheme="minorHAnsi" w:cs="Arial"/>
          <w:color w:val="000000"/>
          <w:szCs w:val="24"/>
          <w:u w:val="single"/>
        </w:rPr>
      </w:pPr>
      <w:r w:rsidRPr="00CA2890">
        <w:rPr>
          <w:rFonts w:asciiTheme="minorHAnsi" w:hAnsiTheme="minorHAnsi" w:cs="Arial"/>
          <w:color w:val="000000"/>
          <w:szCs w:val="24"/>
          <w:u w:val="single"/>
        </w:rPr>
        <w:t xml:space="preserve">Action: </w:t>
      </w:r>
    </w:p>
    <w:p w14:paraId="7C4946A4" w14:textId="77777777" w:rsidR="00CA2890" w:rsidRPr="00CA2890" w:rsidRDefault="00CA2890" w:rsidP="00CA2890">
      <w:pPr>
        <w:widowControl w:val="0"/>
        <w:autoSpaceDE w:val="0"/>
        <w:autoSpaceDN w:val="0"/>
        <w:adjustRightInd w:val="0"/>
        <w:jc w:val="both"/>
        <w:rPr>
          <w:rFonts w:asciiTheme="minorHAnsi" w:hAnsiTheme="minorHAnsi" w:cs="Arial"/>
          <w:color w:val="000000"/>
          <w:szCs w:val="24"/>
        </w:rPr>
      </w:pPr>
      <w:r w:rsidRPr="00CA2890">
        <w:rPr>
          <w:rFonts w:asciiTheme="minorHAnsi" w:hAnsiTheme="minorHAnsi" w:cs="Arial"/>
          <w:color w:val="000000"/>
          <w:szCs w:val="24"/>
        </w:rPr>
        <w:t xml:space="preserve">The complete blood transport box must be quarantined and returned to BTL  </w:t>
      </w:r>
    </w:p>
    <w:p w14:paraId="222805D4" w14:textId="77777777" w:rsidR="00CA2890" w:rsidRPr="00CA2890" w:rsidRDefault="00CA2890" w:rsidP="00CA2890">
      <w:pPr>
        <w:widowControl w:val="0"/>
        <w:autoSpaceDE w:val="0"/>
        <w:autoSpaceDN w:val="0"/>
        <w:adjustRightInd w:val="0"/>
        <w:jc w:val="both"/>
        <w:rPr>
          <w:rFonts w:asciiTheme="minorHAnsi" w:hAnsiTheme="minorHAnsi" w:cs="Arial"/>
          <w:color w:val="000000"/>
          <w:szCs w:val="24"/>
        </w:rPr>
      </w:pPr>
    </w:p>
    <w:p w14:paraId="7474606B" w14:textId="77777777" w:rsidR="00CA2890" w:rsidRPr="00CA2890" w:rsidRDefault="00CA2890" w:rsidP="00CA2890">
      <w:pPr>
        <w:widowControl w:val="0"/>
        <w:autoSpaceDE w:val="0"/>
        <w:autoSpaceDN w:val="0"/>
        <w:adjustRightInd w:val="0"/>
        <w:jc w:val="both"/>
        <w:rPr>
          <w:rFonts w:asciiTheme="minorHAnsi" w:hAnsiTheme="minorHAnsi" w:cs="Arial"/>
          <w:szCs w:val="24"/>
        </w:rPr>
      </w:pPr>
      <w:r w:rsidRPr="00CA2890">
        <w:rPr>
          <w:rFonts w:asciiTheme="minorHAnsi" w:hAnsiTheme="minorHAnsi" w:cs="Arial"/>
          <w:szCs w:val="24"/>
        </w:rPr>
        <w:t>Following a potential transfusion reaction, the blood unit/s responsible must be placed in a bag with the giving set attached and handed over to the receiving hospital to send to their BTL. The issuing BTL will also need to be informed of the issue so they can have direct communication with the receiving hospital BTL.</w:t>
      </w:r>
    </w:p>
    <w:p w14:paraId="6EEF747C" w14:textId="3F047908" w:rsidR="00CA2890" w:rsidRPr="00CA2890" w:rsidRDefault="00CA2890" w:rsidP="00CA2890">
      <w:pPr>
        <w:widowControl w:val="0"/>
        <w:autoSpaceDE w:val="0"/>
        <w:autoSpaceDN w:val="0"/>
        <w:adjustRightInd w:val="0"/>
        <w:jc w:val="both"/>
        <w:rPr>
          <w:rFonts w:asciiTheme="minorHAnsi" w:hAnsiTheme="minorHAnsi" w:cs="Arial"/>
          <w:szCs w:val="24"/>
        </w:rPr>
      </w:pPr>
      <w:r w:rsidRPr="00CA2890">
        <w:rPr>
          <w:rFonts w:asciiTheme="minorHAnsi" w:hAnsiTheme="minorHAnsi" w:cs="Arial"/>
          <w:szCs w:val="24"/>
        </w:rPr>
        <w:t xml:space="preserve"> </w:t>
      </w:r>
    </w:p>
    <w:p w14:paraId="3A90D959" w14:textId="77777777" w:rsidR="00CA2890" w:rsidRPr="00CA2890" w:rsidRDefault="00CA2890" w:rsidP="00CA2890">
      <w:pPr>
        <w:widowControl w:val="0"/>
        <w:autoSpaceDE w:val="0"/>
        <w:autoSpaceDN w:val="0"/>
        <w:adjustRightInd w:val="0"/>
        <w:jc w:val="both"/>
        <w:rPr>
          <w:rFonts w:asciiTheme="minorHAnsi" w:hAnsiTheme="minorHAnsi" w:cs="Arial"/>
          <w:b/>
          <w:i/>
          <w:szCs w:val="24"/>
        </w:rPr>
      </w:pPr>
      <w:r w:rsidRPr="00CA2890">
        <w:rPr>
          <w:rFonts w:asciiTheme="minorHAnsi" w:hAnsiTheme="minorHAnsi" w:cs="Arial"/>
          <w:b/>
          <w:bCs/>
          <w:i/>
          <w:szCs w:val="24"/>
        </w:rPr>
        <w:t xml:space="preserve">External Recall </w:t>
      </w:r>
    </w:p>
    <w:p w14:paraId="61EEF91B" w14:textId="77777777" w:rsidR="00CA2890" w:rsidRPr="00CA2890" w:rsidRDefault="00CA2890" w:rsidP="00CA2890">
      <w:pPr>
        <w:widowControl w:val="0"/>
        <w:autoSpaceDE w:val="0"/>
        <w:autoSpaceDN w:val="0"/>
        <w:adjustRightInd w:val="0"/>
        <w:jc w:val="both"/>
        <w:rPr>
          <w:rFonts w:asciiTheme="minorHAnsi" w:hAnsiTheme="minorHAnsi" w:cs="Arial"/>
          <w:szCs w:val="24"/>
        </w:rPr>
      </w:pPr>
      <w:r w:rsidRPr="00CA2890">
        <w:rPr>
          <w:rFonts w:asciiTheme="minorHAnsi" w:hAnsiTheme="minorHAnsi" w:cs="Arial"/>
          <w:szCs w:val="24"/>
        </w:rPr>
        <w:t>On occasions, the BTL may be asked by an external source to trace and withdraw the component and return it to the requesting source e.g. NHSBT (National Health Service Blood and Transfusion) for the following reasons:</w:t>
      </w:r>
    </w:p>
    <w:p w14:paraId="27D76F7B" w14:textId="77777777" w:rsidR="00CA2890" w:rsidRPr="00CA2890" w:rsidRDefault="00CA2890" w:rsidP="00CA2890">
      <w:pPr>
        <w:pStyle w:val="ListParagraph"/>
        <w:widowControl w:val="0"/>
        <w:numPr>
          <w:ilvl w:val="0"/>
          <w:numId w:val="35"/>
        </w:numPr>
        <w:autoSpaceDE w:val="0"/>
        <w:autoSpaceDN w:val="0"/>
        <w:adjustRightInd w:val="0"/>
        <w:contextualSpacing/>
        <w:jc w:val="both"/>
        <w:rPr>
          <w:rFonts w:asciiTheme="minorHAnsi" w:hAnsiTheme="minorHAnsi" w:cs="Arial"/>
          <w:sz w:val="24"/>
          <w:szCs w:val="24"/>
        </w:rPr>
      </w:pPr>
      <w:r w:rsidRPr="00CA2890">
        <w:rPr>
          <w:rFonts w:asciiTheme="minorHAnsi" w:hAnsiTheme="minorHAnsi" w:cs="Arial"/>
          <w:sz w:val="24"/>
          <w:szCs w:val="24"/>
        </w:rPr>
        <w:t xml:space="preserve">Donation(s) considered to be a microbiological risk. </w:t>
      </w:r>
    </w:p>
    <w:p w14:paraId="0EDC8007" w14:textId="77777777" w:rsidR="00CA2890" w:rsidRPr="00CA2890" w:rsidRDefault="00CA2890" w:rsidP="00CA2890">
      <w:pPr>
        <w:pStyle w:val="ListParagraph"/>
        <w:widowControl w:val="0"/>
        <w:numPr>
          <w:ilvl w:val="0"/>
          <w:numId w:val="35"/>
        </w:numPr>
        <w:autoSpaceDE w:val="0"/>
        <w:autoSpaceDN w:val="0"/>
        <w:adjustRightInd w:val="0"/>
        <w:contextualSpacing/>
        <w:jc w:val="both"/>
        <w:rPr>
          <w:rFonts w:asciiTheme="minorHAnsi" w:hAnsiTheme="minorHAnsi" w:cs="Arial"/>
          <w:sz w:val="24"/>
          <w:szCs w:val="24"/>
        </w:rPr>
      </w:pPr>
      <w:r w:rsidRPr="00CA2890">
        <w:rPr>
          <w:rFonts w:asciiTheme="minorHAnsi" w:hAnsiTheme="minorHAnsi" w:cs="Arial"/>
          <w:sz w:val="24"/>
          <w:szCs w:val="24"/>
        </w:rPr>
        <w:t xml:space="preserve">Donation(s) found to have been collected from donor who did not meet standard acceptance criteria, e.g. following post donation notifications. </w:t>
      </w:r>
    </w:p>
    <w:p w14:paraId="3C2844D1" w14:textId="77777777" w:rsidR="00CA2890" w:rsidRPr="00CA2890" w:rsidRDefault="00CA2890" w:rsidP="00CA2890">
      <w:pPr>
        <w:pStyle w:val="ListParagraph"/>
        <w:widowControl w:val="0"/>
        <w:numPr>
          <w:ilvl w:val="0"/>
          <w:numId w:val="35"/>
        </w:numPr>
        <w:autoSpaceDE w:val="0"/>
        <w:autoSpaceDN w:val="0"/>
        <w:adjustRightInd w:val="0"/>
        <w:contextualSpacing/>
        <w:jc w:val="both"/>
        <w:rPr>
          <w:rFonts w:asciiTheme="minorHAnsi" w:hAnsiTheme="minorHAnsi" w:cs="Arial"/>
          <w:sz w:val="24"/>
          <w:szCs w:val="24"/>
        </w:rPr>
      </w:pPr>
      <w:r w:rsidRPr="00CA2890">
        <w:rPr>
          <w:rFonts w:asciiTheme="minorHAnsi" w:hAnsiTheme="minorHAnsi" w:cs="Arial"/>
          <w:sz w:val="24"/>
          <w:szCs w:val="24"/>
        </w:rPr>
        <w:t xml:space="preserve">Problems identified with donation testing. </w:t>
      </w:r>
    </w:p>
    <w:p w14:paraId="6FE4C935" w14:textId="77777777" w:rsidR="00CA2890" w:rsidRPr="00CA2890" w:rsidRDefault="00CA2890" w:rsidP="00CA2890">
      <w:pPr>
        <w:pStyle w:val="ListParagraph"/>
        <w:widowControl w:val="0"/>
        <w:numPr>
          <w:ilvl w:val="0"/>
          <w:numId w:val="35"/>
        </w:numPr>
        <w:autoSpaceDE w:val="0"/>
        <w:autoSpaceDN w:val="0"/>
        <w:adjustRightInd w:val="0"/>
        <w:contextualSpacing/>
        <w:jc w:val="both"/>
        <w:rPr>
          <w:rFonts w:asciiTheme="minorHAnsi" w:hAnsiTheme="minorHAnsi" w:cs="Arial"/>
          <w:sz w:val="24"/>
          <w:szCs w:val="24"/>
        </w:rPr>
      </w:pPr>
      <w:r w:rsidRPr="00CA2890">
        <w:rPr>
          <w:rFonts w:asciiTheme="minorHAnsi" w:hAnsiTheme="minorHAnsi" w:cs="Arial"/>
          <w:sz w:val="24"/>
          <w:szCs w:val="24"/>
        </w:rPr>
        <w:t xml:space="preserve">Problems identified with quality of raw materials e.g. blood bag faults. </w:t>
      </w:r>
    </w:p>
    <w:p w14:paraId="3707FACE" w14:textId="77777777" w:rsidR="00CA2890" w:rsidRPr="00CA2890" w:rsidRDefault="00CA2890" w:rsidP="00CA2890">
      <w:pPr>
        <w:widowControl w:val="0"/>
        <w:autoSpaceDE w:val="0"/>
        <w:autoSpaceDN w:val="0"/>
        <w:adjustRightInd w:val="0"/>
        <w:jc w:val="both"/>
        <w:rPr>
          <w:rFonts w:asciiTheme="minorHAnsi" w:hAnsiTheme="minorHAnsi" w:cs="Arial"/>
          <w:szCs w:val="24"/>
        </w:rPr>
      </w:pPr>
    </w:p>
    <w:p w14:paraId="482D70C0" w14:textId="77777777" w:rsidR="00CA2890" w:rsidRPr="00CA2890" w:rsidRDefault="00CA2890" w:rsidP="00CA2890">
      <w:pPr>
        <w:widowControl w:val="0"/>
        <w:autoSpaceDE w:val="0"/>
        <w:autoSpaceDN w:val="0"/>
        <w:adjustRightInd w:val="0"/>
        <w:jc w:val="both"/>
        <w:rPr>
          <w:rFonts w:asciiTheme="minorHAnsi" w:hAnsiTheme="minorHAnsi" w:cs="Arial"/>
          <w:szCs w:val="24"/>
          <w:u w:val="single"/>
        </w:rPr>
      </w:pPr>
      <w:r w:rsidRPr="00CA2890">
        <w:rPr>
          <w:rFonts w:asciiTheme="minorHAnsi" w:hAnsiTheme="minorHAnsi" w:cs="Arial"/>
          <w:szCs w:val="24"/>
          <w:u w:val="single"/>
        </w:rPr>
        <w:t>Action:</w:t>
      </w:r>
    </w:p>
    <w:p w14:paraId="124B4D45" w14:textId="77777777" w:rsidR="00CA2890" w:rsidRPr="00CA2890" w:rsidRDefault="00CA2890" w:rsidP="00CA2890">
      <w:pPr>
        <w:widowControl w:val="0"/>
        <w:autoSpaceDE w:val="0"/>
        <w:autoSpaceDN w:val="0"/>
        <w:adjustRightInd w:val="0"/>
        <w:jc w:val="both"/>
        <w:rPr>
          <w:rFonts w:asciiTheme="minorHAnsi" w:hAnsiTheme="minorHAnsi" w:cs="Arial"/>
          <w:szCs w:val="24"/>
        </w:rPr>
      </w:pPr>
      <w:r w:rsidRPr="00CA2890">
        <w:rPr>
          <w:rFonts w:asciiTheme="minorHAnsi" w:hAnsiTheme="minorHAnsi" w:cs="Arial"/>
          <w:szCs w:val="24"/>
        </w:rPr>
        <w:t xml:space="preserve">In any of these events the distributing BTL staff will inform the TAAS duty crew of the details of which component is to be recalled. </w:t>
      </w:r>
    </w:p>
    <w:p w14:paraId="6DE00989" w14:textId="77777777" w:rsidR="00CA2890" w:rsidRPr="00CA2890" w:rsidRDefault="00CA2890" w:rsidP="00CA2890">
      <w:pPr>
        <w:widowControl w:val="0"/>
        <w:autoSpaceDE w:val="0"/>
        <w:autoSpaceDN w:val="0"/>
        <w:adjustRightInd w:val="0"/>
        <w:jc w:val="both"/>
        <w:rPr>
          <w:rFonts w:asciiTheme="minorHAnsi" w:hAnsiTheme="minorHAnsi" w:cs="Arial"/>
          <w:szCs w:val="24"/>
        </w:rPr>
      </w:pPr>
    </w:p>
    <w:p w14:paraId="46DAB2D2" w14:textId="77777777" w:rsidR="00CA2890" w:rsidRPr="00CA2890" w:rsidRDefault="00CA2890" w:rsidP="00CA2890">
      <w:pPr>
        <w:widowControl w:val="0"/>
        <w:autoSpaceDE w:val="0"/>
        <w:autoSpaceDN w:val="0"/>
        <w:adjustRightInd w:val="0"/>
        <w:jc w:val="both"/>
        <w:rPr>
          <w:rFonts w:asciiTheme="minorHAnsi" w:hAnsiTheme="minorHAnsi" w:cs="Arial"/>
          <w:szCs w:val="24"/>
        </w:rPr>
      </w:pPr>
      <w:r w:rsidRPr="00CA2890">
        <w:rPr>
          <w:rFonts w:asciiTheme="minorHAnsi" w:hAnsiTheme="minorHAnsi" w:cs="Arial"/>
          <w:i/>
          <w:szCs w:val="24"/>
        </w:rPr>
        <w:t>Unit not transfused</w:t>
      </w:r>
      <w:r w:rsidRPr="00CA2890">
        <w:rPr>
          <w:rFonts w:asciiTheme="minorHAnsi" w:hAnsiTheme="minorHAnsi" w:cs="Arial"/>
          <w:szCs w:val="24"/>
        </w:rPr>
        <w:t>: TAAS will quarantine the complete blood transport box and return to the issuing BTL. The issuing BTL will attempt to provide a replacement box if this is early in the shift but may need to wait until the routine replacement time.</w:t>
      </w:r>
    </w:p>
    <w:p w14:paraId="4F0B0B6A" w14:textId="77777777" w:rsidR="00CA2890" w:rsidRPr="00CA2890" w:rsidRDefault="00CA2890" w:rsidP="00CA2890">
      <w:pPr>
        <w:widowControl w:val="0"/>
        <w:autoSpaceDE w:val="0"/>
        <w:autoSpaceDN w:val="0"/>
        <w:adjustRightInd w:val="0"/>
        <w:jc w:val="both"/>
        <w:rPr>
          <w:rFonts w:asciiTheme="minorHAnsi" w:hAnsiTheme="minorHAnsi" w:cs="Arial"/>
          <w:szCs w:val="24"/>
        </w:rPr>
      </w:pPr>
    </w:p>
    <w:p w14:paraId="75C1B546" w14:textId="77777777" w:rsidR="00CA2890" w:rsidRPr="00CA2890" w:rsidRDefault="00CA2890" w:rsidP="00CA2890">
      <w:pPr>
        <w:widowControl w:val="0"/>
        <w:autoSpaceDE w:val="0"/>
        <w:autoSpaceDN w:val="0"/>
        <w:adjustRightInd w:val="0"/>
        <w:jc w:val="both"/>
        <w:rPr>
          <w:rFonts w:asciiTheme="minorHAnsi" w:hAnsiTheme="minorHAnsi" w:cs="Arial"/>
          <w:szCs w:val="24"/>
        </w:rPr>
      </w:pPr>
      <w:r w:rsidRPr="00CA2890">
        <w:rPr>
          <w:rFonts w:asciiTheme="minorHAnsi" w:hAnsiTheme="minorHAnsi" w:cs="Arial"/>
          <w:i/>
          <w:szCs w:val="24"/>
        </w:rPr>
        <w:t>Unit has been transfused</w:t>
      </w:r>
      <w:r w:rsidRPr="00CA2890">
        <w:rPr>
          <w:rFonts w:asciiTheme="minorHAnsi" w:hAnsiTheme="minorHAnsi" w:cs="Arial"/>
          <w:szCs w:val="24"/>
        </w:rPr>
        <w:t xml:space="preserve">: BTL will liaise with the TAAS duty crew to establish patient details and receiving hospital. Both parties will report and investigate any potential adverse events. </w:t>
      </w:r>
    </w:p>
    <w:p w14:paraId="2354417B" w14:textId="77777777" w:rsidR="00CA2890" w:rsidRPr="00CA2890" w:rsidRDefault="00CA2890" w:rsidP="00CA2890">
      <w:pPr>
        <w:jc w:val="both"/>
        <w:rPr>
          <w:rFonts w:asciiTheme="minorHAnsi" w:hAnsiTheme="minorHAnsi" w:cs="Arial"/>
          <w:szCs w:val="24"/>
        </w:rPr>
      </w:pPr>
    </w:p>
    <w:p w14:paraId="7260D9AE" w14:textId="77777777" w:rsidR="00CA2890" w:rsidRPr="00CA2890" w:rsidRDefault="00CA2890" w:rsidP="00CA2890">
      <w:pPr>
        <w:jc w:val="both"/>
        <w:rPr>
          <w:rFonts w:asciiTheme="minorHAnsi" w:hAnsiTheme="minorHAnsi" w:cs="Arial"/>
          <w:szCs w:val="24"/>
        </w:rPr>
      </w:pPr>
      <w:r w:rsidRPr="00CA2890">
        <w:rPr>
          <w:rFonts w:asciiTheme="minorHAnsi" w:hAnsiTheme="minorHAnsi" w:cs="Arial"/>
          <w:szCs w:val="24"/>
        </w:rPr>
        <w:t xml:space="preserve">The distributing BTL will be responsible for liaising with NHSBT directly and externally reporting to SABRE if necessary. </w:t>
      </w:r>
    </w:p>
    <w:p w14:paraId="7AE1565B" w14:textId="77777777" w:rsidR="00CA2890" w:rsidRPr="00CA2890" w:rsidRDefault="00CA2890" w:rsidP="00CA2890">
      <w:pPr>
        <w:jc w:val="both"/>
        <w:rPr>
          <w:rFonts w:asciiTheme="minorHAnsi" w:hAnsiTheme="minorHAnsi" w:cs="Arial"/>
          <w:b/>
          <w:szCs w:val="24"/>
        </w:rPr>
      </w:pPr>
    </w:p>
    <w:p w14:paraId="31BAE72E" w14:textId="77777777" w:rsidR="00CA2890" w:rsidRPr="00CA2890" w:rsidRDefault="00CA2890" w:rsidP="00CA2890">
      <w:pPr>
        <w:jc w:val="both"/>
        <w:rPr>
          <w:rFonts w:asciiTheme="minorHAnsi" w:hAnsiTheme="minorHAnsi" w:cs="Arial"/>
          <w:b/>
          <w:szCs w:val="24"/>
        </w:rPr>
      </w:pPr>
      <w:r w:rsidRPr="00CA2890">
        <w:rPr>
          <w:rFonts w:asciiTheme="minorHAnsi" w:hAnsiTheme="minorHAnsi" w:cs="Arial"/>
          <w:b/>
          <w:szCs w:val="24"/>
        </w:rPr>
        <w:t xml:space="preserve">Training for administration </w:t>
      </w:r>
    </w:p>
    <w:p w14:paraId="6A43AEF1" w14:textId="77777777" w:rsidR="00CA2890" w:rsidRPr="00CA2890" w:rsidRDefault="00CA2890" w:rsidP="00CA2890">
      <w:pPr>
        <w:jc w:val="both"/>
        <w:rPr>
          <w:rFonts w:asciiTheme="minorHAnsi" w:hAnsiTheme="minorHAnsi" w:cs="Arial"/>
          <w:szCs w:val="24"/>
        </w:rPr>
      </w:pPr>
    </w:p>
    <w:p w14:paraId="419B4E95" w14:textId="77777777" w:rsidR="00CA2890" w:rsidRPr="00CA2890" w:rsidRDefault="00CA2890" w:rsidP="00CA2890">
      <w:pPr>
        <w:jc w:val="both"/>
        <w:rPr>
          <w:rFonts w:asciiTheme="minorHAnsi" w:hAnsiTheme="minorHAnsi" w:cs="Arial"/>
          <w:szCs w:val="24"/>
        </w:rPr>
      </w:pPr>
      <w:r w:rsidRPr="00CA2890">
        <w:rPr>
          <w:rFonts w:asciiTheme="minorHAnsi" w:hAnsiTheme="minorHAnsi" w:cs="Arial"/>
          <w:szCs w:val="24"/>
        </w:rPr>
        <w:t xml:space="preserve">TAAS clinicians must have completed full training in prehospital blood transfusion and been signed off by the TAAS Deputy Clinical Lead (or deputizing staff) before they are permitted to authorise and administer blood components to patients. This applies to all doctors and paramedics. </w:t>
      </w:r>
    </w:p>
    <w:p w14:paraId="10D2C65A" w14:textId="77777777" w:rsidR="00CA2890" w:rsidRPr="00CA2890" w:rsidRDefault="00CA2890" w:rsidP="00CA2890">
      <w:pPr>
        <w:jc w:val="both"/>
        <w:rPr>
          <w:rFonts w:asciiTheme="minorHAnsi" w:hAnsiTheme="minorHAnsi" w:cs="Arial"/>
          <w:szCs w:val="24"/>
        </w:rPr>
      </w:pPr>
    </w:p>
    <w:p w14:paraId="0EA341F5" w14:textId="77777777" w:rsidR="00CA2890" w:rsidRPr="00CA2890" w:rsidRDefault="00CA2890" w:rsidP="00CA2890">
      <w:pPr>
        <w:jc w:val="both"/>
        <w:rPr>
          <w:rFonts w:asciiTheme="minorHAnsi" w:hAnsiTheme="minorHAnsi" w:cs="Arial"/>
          <w:szCs w:val="24"/>
        </w:rPr>
      </w:pPr>
      <w:r w:rsidRPr="00CA2890">
        <w:rPr>
          <w:rFonts w:asciiTheme="minorHAnsi" w:hAnsiTheme="minorHAnsi" w:cs="Arial"/>
          <w:szCs w:val="24"/>
        </w:rPr>
        <w:t>All doctors and CCPs must undertake the NHSBT ‘Learn Blood Transfusion’ competency modules annually and provide certification of the following:</w:t>
      </w:r>
    </w:p>
    <w:p w14:paraId="28260861" w14:textId="77777777" w:rsidR="00CA2890" w:rsidRPr="00CA2890" w:rsidRDefault="00CA2890" w:rsidP="00CA2890">
      <w:pPr>
        <w:pStyle w:val="ListParagraph"/>
        <w:numPr>
          <w:ilvl w:val="1"/>
          <w:numId w:val="24"/>
        </w:numPr>
        <w:contextualSpacing/>
        <w:jc w:val="both"/>
        <w:rPr>
          <w:rFonts w:asciiTheme="minorHAnsi" w:hAnsiTheme="minorHAnsi" w:cs="Arial"/>
          <w:sz w:val="24"/>
          <w:szCs w:val="24"/>
        </w:rPr>
      </w:pPr>
      <w:r w:rsidRPr="00CA2890">
        <w:rPr>
          <w:rFonts w:asciiTheme="minorHAnsi" w:hAnsiTheme="minorHAnsi" w:cs="Arial"/>
          <w:sz w:val="24"/>
          <w:szCs w:val="24"/>
        </w:rPr>
        <w:t>LBT: Acute Transfusion Reactions</w:t>
      </w:r>
    </w:p>
    <w:p w14:paraId="561C49CD" w14:textId="77777777" w:rsidR="00CA2890" w:rsidRPr="00CA2890" w:rsidRDefault="00CA2890" w:rsidP="00CA2890">
      <w:pPr>
        <w:pStyle w:val="ListParagraph"/>
        <w:numPr>
          <w:ilvl w:val="1"/>
          <w:numId w:val="24"/>
        </w:numPr>
        <w:contextualSpacing/>
        <w:jc w:val="both"/>
        <w:rPr>
          <w:rFonts w:asciiTheme="minorHAnsi" w:hAnsiTheme="minorHAnsi" w:cs="Arial"/>
          <w:sz w:val="24"/>
          <w:szCs w:val="24"/>
        </w:rPr>
      </w:pPr>
      <w:r w:rsidRPr="00CA2890">
        <w:rPr>
          <w:rFonts w:asciiTheme="minorHAnsi" w:hAnsiTheme="minorHAnsi" w:cs="Arial"/>
          <w:sz w:val="24"/>
          <w:szCs w:val="24"/>
        </w:rPr>
        <w:t>LBT: Blood Components and Indications for Use</w:t>
      </w:r>
    </w:p>
    <w:p w14:paraId="16483224" w14:textId="77777777" w:rsidR="00CA2890" w:rsidRPr="00CA2890" w:rsidRDefault="00CA2890" w:rsidP="00CA2890">
      <w:pPr>
        <w:pStyle w:val="ListParagraph"/>
        <w:numPr>
          <w:ilvl w:val="1"/>
          <w:numId w:val="24"/>
        </w:numPr>
        <w:contextualSpacing/>
        <w:jc w:val="both"/>
        <w:rPr>
          <w:rFonts w:asciiTheme="minorHAnsi" w:hAnsiTheme="minorHAnsi" w:cs="Arial"/>
          <w:sz w:val="24"/>
          <w:szCs w:val="24"/>
        </w:rPr>
      </w:pPr>
      <w:r w:rsidRPr="00CA2890">
        <w:rPr>
          <w:rFonts w:asciiTheme="minorHAnsi" w:hAnsiTheme="minorHAnsi" w:cs="Arial"/>
          <w:sz w:val="24"/>
          <w:szCs w:val="24"/>
        </w:rPr>
        <w:t>LBT: Consent for Transfusion</w:t>
      </w:r>
    </w:p>
    <w:p w14:paraId="6AB83B6F" w14:textId="77777777" w:rsidR="00CA2890" w:rsidRPr="00CA2890" w:rsidRDefault="00CA2890" w:rsidP="00CA2890">
      <w:pPr>
        <w:pStyle w:val="ListParagraph"/>
        <w:numPr>
          <w:ilvl w:val="1"/>
          <w:numId w:val="24"/>
        </w:numPr>
        <w:contextualSpacing/>
        <w:jc w:val="both"/>
        <w:rPr>
          <w:rFonts w:asciiTheme="minorHAnsi" w:hAnsiTheme="minorHAnsi" w:cs="Arial"/>
          <w:sz w:val="24"/>
          <w:szCs w:val="24"/>
        </w:rPr>
      </w:pPr>
      <w:r w:rsidRPr="00CA2890">
        <w:rPr>
          <w:rFonts w:asciiTheme="minorHAnsi" w:hAnsiTheme="minorHAnsi" w:cs="Arial"/>
          <w:sz w:val="24"/>
          <w:szCs w:val="24"/>
        </w:rPr>
        <w:t>LBT: Safe Transfusion Practice</w:t>
      </w:r>
    </w:p>
    <w:p w14:paraId="38CCFF8B" w14:textId="77777777" w:rsidR="00CA2890" w:rsidRPr="00CA2890" w:rsidRDefault="00CA2890" w:rsidP="00CA2890">
      <w:pPr>
        <w:pStyle w:val="ListParagraph"/>
        <w:numPr>
          <w:ilvl w:val="1"/>
          <w:numId w:val="24"/>
        </w:numPr>
        <w:contextualSpacing/>
        <w:jc w:val="both"/>
        <w:rPr>
          <w:rFonts w:asciiTheme="minorHAnsi" w:hAnsiTheme="minorHAnsi" w:cs="Arial"/>
          <w:sz w:val="24"/>
          <w:szCs w:val="24"/>
        </w:rPr>
      </w:pPr>
      <w:r w:rsidRPr="00CA2890">
        <w:rPr>
          <w:rFonts w:asciiTheme="minorHAnsi" w:hAnsiTheme="minorHAnsi" w:cs="Arial"/>
          <w:sz w:val="24"/>
          <w:szCs w:val="24"/>
        </w:rPr>
        <w:t xml:space="preserve">LBT: Safe Transfusion Practice for </w:t>
      </w:r>
      <w:proofErr w:type="spellStart"/>
      <w:r w:rsidRPr="00CA2890">
        <w:rPr>
          <w:rFonts w:asciiTheme="minorHAnsi" w:hAnsiTheme="minorHAnsi" w:cs="Arial"/>
          <w:sz w:val="24"/>
          <w:szCs w:val="24"/>
        </w:rPr>
        <w:t>Paediatrics</w:t>
      </w:r>
      <w:proofErr w:type="spellEnd"/>
    </w:p>
    <w:p w14:paraId="2B7458C1" w14:textId="77777777" w:rsidR="00CA2890" w:rsidRPr="00CA2890" w:rsidRDefault="00CA2890" w:rsidP="00CA2890">
      <w:pPr>
        <w:jc w:val="both"/>
        <w:rPr>
          <w:rFonts w:asciiTheme="minorHAnsi" w:hAnsiTheme="minorHAnsi" w:cs="Arial"/>
          <w:szCs w:val="24"/>
        </w:rPr>
      </w:pPr>
    </w:p>
    <w:p w14:paraId="297DB51D" w14:textId="77777777" w:rsidR="00CA2890" w:rsidRPr="00CA2890" w:rsidRDefault="00CA2890" w:rsidP="00CA2890">
      <w:pPr>
        <w:jc w:val="both"/>
        <w:rPr>
          <w:rFonts w:asciiTheme="minorHAnsi" w:hAnsiTheme="minorHAnsi" w:cs="Arial"/>
          <w:szCs w:val="24"/>
        </w:rPr>
      </w:pPr>
      <w:r w:rsidRPr="00CA2890">
        <w:rPr>
          <w:rFonts w:asciiTheme="minorHAnsi" w:hAnsiTheme="minorHAnsi" w:cs="Arial"/>
          <w:szCs w:val="24"/>
        </w:rPr>
        <w:t xml:space="preserve">All staff (regardless of previous training) are required to undertake specific TAAS pre-hospital blood transfusion training – this can be delivered virtually and via cascade training on an annual basis. A competency-based assessment will confirm knowledge prior to sign-off. </w:t>
      </w:r>
    </w:p>
    <w:p w14:paraId="5699DA92" w14:textId="77777777" w:rsidR="00CA2890" w:rsidRPr="00CA2890" w:rsidRDefault="00CA2890" w:rsidP="00CA2890">
      <w:pPr>
        <w:jc w:val="both"/>
        <w:rPr>
          <w:rFonts w:asciiTheme="minorHAnsi" w:hAnsiTheme="minorHAnsi" w:cs="Arial"/>
          <w:szCs w:val="24"/>
        </w:rPr>
      </w:pPr>
    </w:p>
    <w:p w14:paraId="6763065A" w14:textId="77777777" w:rsidR="00CA2890" w:rsidRPr="00CA2890" w:rsidRDefault="00CA2890" w:rsidP="00CA2890">
      <w:pPr>
        <w:jc w:val="both"/>
        <w:rPr>
          <w:rFonts w:asciiTheme="minorHAnsi" w:hAnsiTheme="minorHAnsi" w:cs="Arial"/>
          <w:szCs w:val="24"/>
        </w:rPr>
      </w:pPr>
      <w:r w:rsidRPr="00CA2890">
        <w:rPr>
          <w:rFonts w:asciiTheme="minorHAnsi" w:hAnsiTheme="minorHAnsi" w:cs="Arial"/>
          <w:szCs w:val="24"/>
        </w:rPr>
        <w:t xml:space="preserve">Any changes to blood transfusion practices will be disseminated via the TAAS red-green system to ensure every staff member is aware. </w:t>
      </w:r>
    </w:p>
    <w:p w14:paraId="5CF79970" w14:textId="77777777" w:rsidR="00CA2890" w:rsidRPr="00CA2890" w:rsidRDefault="00CA2890" w:rsidP="00CA2890">
      <w:pPr>
        <w:jc w:val="both"/>
        <w:rPr>
          <w:rFonts w:asciiTheme="minorHAnsi" w:hAnsiTheme="minorHAnsi" w:cs="Arial"/>
          <w:szCs w:val="24"/>
        </w:rPr>
      </w:pPr>
    </w:p>
    <w:p w14:paraId="21C6495D" w14:textId="77777777" w:rsidR="00CA2890" w:rsidRPr="00CA2890" w:rsidRDefault="00CA2890" w:rsidP="00CA2890">
      <w:pPr>
        <w:jc w:val="both"/>
        <w:rPr>
          <w:rFonts w:asciiTheme="minorHAnsi" w:hAnsiTheme="minorHAnsi" w:cs="Arial"/>
          <w:szCs w:val="24"/>
        </w:rPr>
      </w:pPr>
      <w:r w:rsidRPr="00CA2890">
        <w:rPr>
          <w:rFonts w:asciiTheme="minorHAnsi" w:hAnsiTheme="minorHAnsi" w:cs="Arial"/>
          <w:szCs w:val="24"/>
        </w:rPr>
        <w:t>A nominated TAAS paramedic will be responsible for maintaining records of training and prompting annual updates for all staff.</w:t>
      </w:r>
    </w:p>
    <w:p w14:paraId="4EF928EF" w14:textId="77777777" w:rsidR="00CA2890" w:rsidRPr="00CA2890" w:rsidRDefault="00CA2890" w:rsidP="00CA2890">
      <w:pPr>
        <w:jc w:val="both"/>
        <w:rPr>
          <w:rFonts w:asciiTheme="minorHAnsi" w:hAnsiTheme="minorHAnsi" w:cs="Arial"/>
          <w:szCs w:val="24"/>
        </w:rPr>
      </w:pPr>
    </w:p>
    <w:p w14:paraId="47A442D9" w14:textId="77777777" w:rsidR="00CA2890" w:rsidRPr="00CA2890" w:rsidRDefault="00CA2890" w:rsidP="00CA2890">
      <w:pPr>
        <w:jc w:val="both"/>
        <w:rPr>
          <w:rFonts w:asciiTheme="minorHAnsi" w:hAnsiTheme="minorHAnsi" w:cs="Arial"/>
          <w:szCs w:val="24"/>
        </w:rPr>
      </w:pPr>
      <w:r w:rsidRPr="00CA2890">
        <w:rPr>
          <w:rFonts w:asciiTheme="minorHAnsi" w:hAnsiTheme="minorHAnsi" w:cs="Arial"/>
          <w:szCs w:val="24"/>
        </w:rPr>
        <w:t>Every administration of blood components and any missed opportunities for prehospital transfusion (</w:t>
      </w:r>
      <w:proofErr w:type="spellStart"/>
      <w:r w:rsidRPr="00CA2890">
        <w:rPr>
          <w:rFonts w:asciiTheme="minorHAnsi" w:hAnsiTheme="minorHAnsi" w:cs="Arial"/>
          <w:szCs w:val="24"/>
        </w:rPr>
        <w:t>eg</w:t>
      </w:r>
      <w:proofErr w:type="spellEnd"/>
      <w:r w:rsidRPr="00CA2890">
        <w:rPr>
          <w:rFonts w:asciiTheme="minorHAnsi" w:hAnsiTheme="minorHAnsi" w:cs="Arial"/>
          <w:szCs w:val="24"/>
        </w:rPr>
        <w:t xml:space="preserve"> blood components awaiting restock) will be audited internally by TAAS and shared with QMC and UHCW BTL on a quarterly basis. The TAAS report will form a standing item on the agenda of the local Hospital Transfusion Committee (HTC) meeting. </w:t>
      </w:r>
    </w:p>
    <w:p w14:paraId="534A2722" w14:textId="77777777" w:rsidR="00CA2890" w:rsidRPr="00CA2890" w:rsidRDefault="00CA2890" w:rsidP="00CA2890">
      <w:pPr>
        <w:jc w:val="both"/>
        <w:rPr>
          <w:rFonts w:asciiTheme="minorHAnsi" w:hAnsiTheme="minorHAnsi"/>
          <w:szCs w:val="24"/>
        </w:rPr>
      </w:pPr>
    </w:p>
    <w:p w14:paraId="2D96B2A3" w14:textId="77777777" w:rsidR="001D48D6" w:rsidRDefault="001D48D6" w:rsidP="001D48D6">
      <w:pPr>
        <w:rPr>
          <w:rFonts w:asciiTheme="minorHAnsi" w:hAnsiTheme="minorHAnsi"/>
          <w:szCs w:val="24"/>
        </w:rPr>
      </w:pPr>
      <w:r w:rsidRPr="00CA2890">
        <w:rPr>
          <w:rFonts w:asciiTheme="minorHAnsi" w:hAnsiTheme="minorHAnsi"/>
          <w:b/>
          <w:szCs w:val="24"/>
        </w:rPr>
        <w:t>Acknowledgements</w:t>
      </w:r>
      <w:r>
        <w:rPr>
          <w:rFonts w:asciiTheme="minorHAnsi" w:hAnsiTheme="minorHAnsi"/>
          <w:szCs w:val="24"/>
        </w:rPr>
        <w:t xml:space="preserve">: Great North Air Ambulance, Essex &amp; Herts Air Ambulance, and </w:t>
      </w:r>
      <w:proofErr w:type="spellStart"/>
      <w:r>
        <w:rPr>
          <w:rFonts w:asciiTheme="minorHAnsi" w:hAnsiTheme="minorHAnsi"/>
          <w:szCs w:val="24"/>
        </w:rPr>
        <w:t>Londons</w:t>
      </w:r>
      <w:proofErr w:type="spellEnd"/>
      <w:r>
        <w:rPr>
          <w:rFonts w:asciiTheme="minorHAnsi" w:hAnsiTheme="minorHAnsi"/>
          <w:szCs w:val="24"/>
        </w:rPr>
        <w:t xml:space="preserve"> Air Ambulance who shared their SOP’s and experience with TAAS staff. </w:t>
      </w:r>
    </w:p>
    <w:p w14:paraId="4D5246E7" w14:textId="77777777" w:rsidR="001D48D6" w:rsidRDefault="001D48D6" w:rsidP="00CA2890">
      <w:pPr>
        <w:rPr>
          <w:rFonts w:asciiTheme="minorHAnsi" w:hAnsiTheme="minorHAnsi"/>
          <w:szCs w:val="24"/>
        </w:rPr>
      </w:pPr>
    </w:p>
    <w:p w14:paraId="094FEDFC" w14:textId="77777777" w:rsidR="001D48D6" w:rsidRDefault="001D48D6" w:rsidP="00CA2890">
      <w:pPr>
        <w:rPr>
          <w:rFonts w:asciiTheme="minorHAnsi" w:hAnsiTheme="minorHAnsi"/>
          <w:szCs w:val="24"/>
        </w:rPr>
      </w:pPr>
    </w:p>
    <w:p w14:paraId="6876E515" w14:textId="77777777" w:rsidR="001D48D6" w:rsidRPr="00CA2890" w:rsidRDefault="001D48D6" w:rsidP="001D48D6">
      <w:pPr>
        <w:rPr>
          <w:rFonts w:asciiTheme="minorHAnsi" w:hAnsiTheme="minorHAnsi"/>
          <w:b/>
          <w:szCs w:val="24"/>
          <w:u w:val="single"/>
        </w:rPr>
      </w:pPr>
      <w:r w:rsidRPr="00CA2890">
        <w:rPr>
          <w:rFonts w:asciiTheme="minorHAnsi" w:hAnsiTheme="minorHAnsi"/>
          <w:b/>
          <w:szCs w:val="24"/>
          <w:u w:val="single"/>
        </w:rPr>
        <w:t>ANNEX/APPENDIX</w:t>
      </w:r>
    </w:p>
    <w:p w14:paraId="343F3650" w14:textId="77777777" w:rsidR="001D48D6" w:rsidRPr="00CA2890" w:rsidRDefault="001D48D6" w:rsidP="001D48D6">
      <w:pPr>
        <w:rPr>
          <w:rFonts w:asciiTheme="minorHAnsi" w:hAnsiTheme="minorHAnsi"/>
          <w:b/>
          <w:szCs w:val="24"/>
          <w:u w:val="single"/>
        </w:rPr>
      </w:pPr>
    </w:p>
    <w:tbl>
      <w:tblPr>
        <w:tblW w:w="9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654"/>
      </w:tblGrid>
      <w:tr w:rsidR="001D48D6" w:rsidRPr="00CA2890" w14:paraId="4D6F5DD6" w14:textId="77777777" w:rsidTr="0051727B">
        <w:tc>
          <w:tcPr>
            <w:tcW w:w="3261" w:type="dxa"/>
            <w:tcBorders>
              <w:top w:val="single" w:sz="4" w:space="0" w:color="auto"/>
              <w:left w:val="single" w:sz="4" w:space="0" w:color="auto"/>
              <w:bottom w:val="single" w:sz="4" w:space="0" w:color="auto"/>
              <w:right w:val="single" w:sz="4" w:space="0" w:color="auto"/>
            </w:tcBorders>
            <w:hideMark/>
          </w:tcPr>
          <w:p w14:paraId="7813732D" w14:textId="77777777" w:rsidR="001D48D6" w:rsidRPr="00CA2890" w:rsidRDefault="001D48D6" w:rsidP="0051727B">
            <w:pPr>
              <w:spacing w:line="276" w:lineRule="auto"/>
              <w:rPr>
                <w:rFonts w:asciiTheme="minorHAnsi" w:hAnsiTheme="minorHAnsi"/>
                <w:b/>
                <w:szCs w:val="24"/>
              </w:rPr>
            </w:pPr>
            <w:r w:rsidRPr="00CA2890">
              <w:rPr>
                <w:rFonts w:asciiTheme="minorHAnsi" w:hAnsiTheme="minorHAnsi"/>
                <w:b/>
                <w:szCs w:val="24"/>
              </w:rPr>
              <w:t>Document Reference Number</w:t>
            </w:r>
          </w:p>
        </w:tc>
        <w:tc>
          <w:tcPr>
            <w:tcW w:w="6653" w:type="dxa"/>
            <w:tcBorders>
              <w:top w:val="single" w:sz="4" w:space="0" w:color="auto"/>
              <w:left w:val="single" w:sz="4" w:space="0" w:color="auto"/>
              <w:bottom w:val="single" w:sz="4" w:space="0" w:color="auto"/>
              <w:right w:val="single" w:sz="4" w:space="0" w:color="auto"/>
            </w:tcBorders>
            <w:hideMark/>
          </w:tcPr>
          <w:p w14:paraId="1D367691" w14:textId="77777777" w:rsidR="001D48D6" w:rsidRPr="00CA2890" w:rsidRDefault="001D48D6" w:rsidP="0051727B">
            <w:pPr>
              <w:spacing w:line="276" w:lineRule="auto"/>
              <w:rPr>
                <w:rFonts w:asciiTheme="minorHAnsi" w:hAnsiTheme="minorHAnsi"/>
                <w:b/>
                <w:szCs w:val="24"/>
              </w:rPr>
            </w:pPr>
            <w:r w:rsidRPr="00CA2890">
              <w:rPr>
                <w:rFonts w:asciiTheme="minorHAnsi" w:hAnsiTheme="minorHAnsi"/>
                <w:b/>
                <w:szCs w:val="24"/>
              </w:rPr>
              <w:t>Document Title</w:t>
            </w:r>
          </w:p>
        </w:tc>
      </w:tr>
      <w:tr w:rsidR="001D48D6" w:rsidRPr="00CA2890" w14:paraId="6F572036" w14:textId="77777777" w:rsidTr="0051727B">
        <w:tc>
          <w:tcPr>
            <w:tcW w:w="3261" w:type="dxa"/>
            <w:tcBorders>
              <w:top w:val="single" w:sz="4" w:space="0" w:color="auto"/>
              <w:left w:val="single" w:sz="4" w:space="0" w:color="auto"/>
              <w:bottom w:val="single" w:sz="4" w:space="0" w:color="auto"/>
              <w:right w:val="single" w:sz="4" w:space="0" w:color="auto"/>
            </w:tcBorders>
          </w:tcPr>
          <w:p w14:paraId="446FA752" w14:textId="4996ADD0" w:rsidR="001D48D6" w:rsidRPr="00CA2890" w:rsidRDefault="001D48D6" w:rsidP="0051727B">
            <w:pPr>
              <w:spacing w:line="276" w:lineRule="auto"/>
              <w:rPr>
                <w:rFonts w:asciiTheme="minorHAnsi" w:hAnsiTheme="minorHAnsi"/>
                <w:color w:val="000000"/>
                <w:szCs w:val="24"/>
              </w:rPr>
            </w:pPr>
            <w:r>
              <w:rPr>
                <w:rFonts w:asciiTheme="minorHAnsi" w:hAnsiTheme="minorHAnsi"/>
                <w:color w:val="000000"/>
                <w:szCs w:val="24"/>
              </w:rPr>
              <w:t>1</w:t>
            </w:r>
          </w:p>
        </w:tc>
        <w:tc>
          <w:tcPr>
            <w:tcW w:w="6653" w:type="dxa"/>
            <w:tcBorders>
              <w:top w:val="single" w:sz="4" w:space="0" w:color="auto"/>
              <w:left w:val="single" w:sz="4" w:space="0" w:color="auto"/>
              <w:bottom w:val="single" w:sz="4" w:space="0" w:color="auto"/>
              <w:right w:val="single" w:sz="4" w:space="0" w:color="auto"/>
            </w:tcBorders>
          </w:tcPr>
          <w:p w14:paraId="0A72C0B2" w14:textId="1A1FFBEF" w:rsidR="001D48D6" w:rsidRPr="00CA2890" w:rsidRDefault="001D48D6" w:rsidP="0051727B">
            <w:pPr>
              <w:spacing w:line="276" w:lineRule="auto"/>
              <w:rPr>
                <w:rFonts w:asciiTheme="minorHAnsi" w:hAnsiTheme="minorHAnsi"/>
                <w:color w:val="000000"/>
                <w:szCs w:val="24"/>
              </w:rPr>
            </w:pPr>
            <w:r>
              <w:rPr>
                <w:rFonts w:asciiTheme="minorHAnsi" w:hAnsiTheme="minorHAnsi"/>
                <w:color w:val="000000"/>
                <w:szCs w:val="24"/>
              </w:rPr>
              <w:t>Box Tracking Record (BTR) Form</w:t>
            </w:r>
            <w:r w:rsidR="00C771AE">
              <w:rPr>
                <w:rFonts w:asciiTheme="minorHAnsi" w:hAnsiTheme="minorHAnsi"/>
                <w:color w:val="000000"/>
                <w:szCs w:val="24"/>
              </w:rPr>
              <w:t xml:space="preserve"> – NUH &amp; DLR54</w:t>
            </w:r>
          </w:p>
        </w:tc>
      </w:tr>
      <w:tr w:rsidR="00C771AE" w:rsidRPr="00CA2890" w14:paraId="762B570C" w14:textId="77777777" w:rsidTr="0051727B">
        <w:tc>
          <w:tcPr>
            <w:tcW w:w="3261" w:type="dxa"/>
            <w:tcBorders>
              <w:top w:val="single" w:sz="4" w:space="0" w:color="auto"/>
              <w:left w:val="single" w:sz="4" w:space="0" w:color="auto"/>
              <w:bottom w:val="single" w:sz="4" w:space="0" w:color="auto"/>
              <w:right w:val="single" w:sz="4" w:space="0" w:color="auto"/>
            </w:tcBorders>
          </w:tcPr>
          <w:p w14:paraId="0C870A60" w14:textId="77B761A4" w:rsidR="00C771AE" w:rsidRDefault="00C771AE" w:rsidP="0051727B">
            <w:pPr>
              <w:spacing w:line="276" w:lineRule="auto"/>
              <w:rPr>
                <w:rFonts w:asciiTheme="minorHAnsi" w:hAnsiTheme="minorHAnsi"/>
                <w:color w:val="000000"/>
                <w:szCs w:val="24"/>
              </w:rPr>
            </w:pPr>
            <w:r>
              <w:rPr>
                <w:rFonts w:asciiTheme="minorHAnsi" w:hAnsiTheme="minorHAnsi"/>
                <w:color w:val="000000"/>
                <w:szCs w:val="24"/>
              </w:rPr>
              <w:t>2</w:t>
            </w:r>
          </w:p>
        </w:tc>
        <w:tc>
          <w:tcPr>
            <w:tcW w:w="6653" w:type="dxa"/>
            <w:tcBorders>
              <w:top w:val="single" w:sz="4" w:space="0" w:color="auto"/>
              <w:left w:val="single" w:sz="4" w:space="0" w:color="auto"/>
              <w:bottom w:val="single" w:sz="4" w:space="0" w:color="auto"/>
              <w:right w:val="single" w:sz="4" w:space="0" w:color="auto"/>
            </w:tcBorders>
          </w:tcPr>
          <w:p w14:paraId="33A5AEB0" w14:textId="3B810234" w:rsidR="00C771AE" w:rsidRDefault="00C771AE" w:rsidP="0051727B">
            <w:pPr>
              <w:spacing w:line="276" w:lineRule="auto"/>
              <w:rPr>
                <w:rFonts w:asciiTheme="minorHAnsi" w:hAnsiTheme="minorHAnsi"/>
                <w:color w:val="000000"/>
                <w:szCs w:val="24"/>
              </w:rPr>
            </w:pPr>
            <w:r>
              <w:rPr>
                <w:rFonts w:asciiTheme="minorHAnsi" w:hAnsiTheme="minorHAnsi"/>
                <w:color w:val="000000"/>
                <w:szCs w:val="24"/>
              </w:rPr>
              <w:t>Box Tracking Record (BTR) Form - UHCW &amp; WNAA53</w:t>
            </w:r>
          </w:p>
        </w:tc>
      </w:tr>
      <w:tr w:rsidR="001D48D6" w:rsidRPr="00CA2890" w14:paraId="44F82C74" w14:textId="77777777" w:rsidTr="0051727B">
        <w:tc>
          <w:tcPr>
            <w:tcW w:w="3261" w:type="dxa"/>
            <w:tcBorders>
              <w:top w:val="single" w:sz="4" w:space="0" w:color="auto"/>
              <w:left w:val="single" w:sz="4" w:space="0" w:color="auto"/>
              <w:bottom w:val="single" w:sz="4" w:space="0" w:color="auto"/>
              <w:right w:val="single" w:sz="4" w:space="0" w:color="auto"/>
            </w:tcBorders>
          </w:tcPr>
          <w:p w14:paraId="7C7BB69E" w14:textId="1D8268B3" w:rsidR="001D48D6" w:rsidRPr="00CA2890" w:rsidRDefault="001D48D6" w:rsidP="0051727B">
            <w:pPr>
              <w:spacing w:line="276" w:lineRule="auto"/>
              <w:rPr>
                <w:rFonts w:asciiTheme="minorHAnsi" w:hAnsiTheme="minorHAnsi"/>
                <w:szCs w:val="24"/>
              </w:rPr>
            </w:pPr>
            <w:r>
              <w:rPr>
                <w:rFonts w:asciiTheme="minorHAnsi" w:hAnsiTheme="minorHAnsi"/>
                <w:szCs w:val="24"/>
              </w:rPr>
              <w:t>2</w:t>
            </w:r>
          </w:p>
        </w:tc>
        <w:tc>
          <w:tcPr>
            <w:tcW w:w="6653" w:type="dxa"/>
            <w:tcBorders>
              <w:top w:val="single" w:sz="4" w:space="0" w:color="auto"/>
              <w:left w:val="single" w:sz="4" w:space="0" w:color="auto"/>
              <w:bottom w:val="single" w:sz="4" w:space="0" w:color="auto"/>
              <w:right w:val="single" w:sz="4" w:space="0" w:color="auto"/>
            </w:tcBorders>
          </w:tcPr>
          <w:p w14:paraId="3119C71B" w14:textId="55B26084" w:rsidR="001D48D6" w:rsidRPr="001D48D6" w:rsidRDefault="001D48D6" w:rsidP="001D48D6">
            <w:pPr>
              <w:rPr>
                <w:rFonts w:asciiTheme="minorHAnsi" w:hAnsiTheme="minorHAnsi"/>
              </w:rPr>
            </w:pPr>
            <w:r w:rsidRPr="00CA2890">
              <w:rPr>
                <w:rFonts w:asciiTheme="minorHAnsi" w:hAnsiTheme="minorHAnsi"/>
              </w:rPr>
              <w:t xml:space="preserve">Transfusion Record Sheet (TRS) </w:t>
            </w:r>
            <w:r>
              <w:rPr>
                <w:rFonts w:asciiTheme="minorHAnsi" w:hAnsiTheme="minorHAnsi"/>
              </w:rPr>
              <w:t>– NUH &amp; DLR54</w:t>
            </w:r>
          </w:p>
        </w:tc>
      </w:tr>
      <w:tr w:rsidR="001D48D6" w:rsidRPr="00CA2890" w14:paraId="3D285390" w14:textId="77777777" w:rsidTr="0051727B">
        <w:tc>
          <w:tcPr>
            <w:tcW w:w="3261" w:type="dxa"/>
            <w:tcBorders>
              <w:top w:val="single" w:sz="4" w:space="0" w:color="auto"/>
              <w:left w:val="single" w:sz="4" w:space="0" w:color="auto"/>
              <w:bottom w:val="single" w:sz="4" w:space="0" w:color="auto"/>
              <w:right w:val="single" w:sz="4" w:space="0" w:color="auto"/>
            </w:tcBorders>
          </w:tcPr>
          <w:p w14:paraId="7FCE2937" w14:textId="2EF76B0D" w:rsidR="001D48D6" w:rsidRPr="00CA2890" w:rsidRDefault="001D48D6" w:rsidP="0051727B">
            <w:pPr>
              <w:spacing w:line="276" w:lineRule="auto"/>
              <w:rPr>
                <w:rFonts w:asciiTheme="minorHAnsi" w:hAnsiTheme="minorHAnsi"/>
                <w:szCs w:val="24"/>
              </w:rPr>
            </w:pPr>
            <w:r>
              <w:rPr>
                <w:rFonts w:asciiTheme="minorHAnsi" w:hAnsiTheme="minorHAnsi"/>
                <w:szCs w:val="24"/>
              </w:rPr>
              <w:t>3</w:t>
            </w:r>
          </w:p>
        </w:tc>
        <w:tc>
          <w:tcPr>
            <w:tcW w:w="6653" w:type="dxa"/>
            <w:tcBorders>
              <w:top w:val="single" w:sz="4" w:space="0" w:color="auto"/>
              <w:left w:val="single" w:sz="4" w:space="0" w:color="auto"/>
              <w:bottom w:val="single" w:sz="4" w:space="0" w:color="auto"/>
              <w:right w:val="single" w:sz="4" w:space="0" w:color="auto"/>
            </w:tcBorders>
          </w:tcPr>
          <w:p w14:paraId="23102356" w14:textId="74317B7F" w:rsidR="001D48D6" w:rsidRPr="00CA2890" w:rsidRDefault="001D48D6" w:rsidP="0051727B">
            <w:pPr>
              <w:spacing w:line="276" w:lineRule="auto"/>
              <w:rPr>
                <w:rFonts w:asciiTheme="minorHAnsi" w:hAnsiTheme="minorHAnsi"/>
                <w:color w:val="000000"/>
                <w:szCs w:val="24"/>
              </w:rPr>
            </w:pPr>
            <w:r>
              <w:rPr>
                <w:rFonts w:asciiTheme="minorHAnsi" w:hAnsiTheme="minorHAnsi"/>
                <w:color w:val="000000"/>
                <w:szCs w:val="24"/>
              </w:rPr>
              <w:t>Transfusion Record Sheet (TRS) – UHCW &amp; WNAA53</w:t>
            </w:r>
          </w:p>
        </w:tc>
      </w:tr>
    </w:tbl>
    <w:p w14:paraId="4F1A936D" w14:textId="77777777" w:rsidR="001D48D6" w:rsidRPr="00CA2890" w:rsidRDefault="001D48D6" w:rsidP="001D48D6">
      <w:pPr>
        <w:pStyle w:val="Header"/>
        <w:tabs>
          <w:tab w:val="clear" w:pos="4153"/>
          <w:tab w:val="clear" w:pos="8306"/>
        </w:tabs>
        <w:jc w:val="both"/>
        <w:rPr>
          <w:rFonts w:asciiTheme="minorHAnsi" w:hAnsiTheme="minorHAnsi"/>
          <w:b/>
          <w:szCs w:val="24"/>
        </w:rPr>
      </w:pPr>
    </w:p>
    <w:p w14:paraId="45EF8A74" w14:textId="5F3E5330" w:rsidR="00AE6DFD" w:rsidRPr="00C771AE" w:rsidRDefault="001D48D6" w:rsidP="00C771AE">
      <w:pPr>
        <w:pStyle w:val="Header"/>
        <w:tabs>
          <w:tab w:val="clear" w:pos="4153"/>
          <w:tab w:val="clear" w:pos="8306"/>
        </w:tabs>
        <w:jc w:val="center"/>
        <w:rPr>
          <w:rFonts w:asciiTheme="minorHAnsi" w:hAnsiTheme="minorHAnsi"/>
          <w:b/>
          <w:szCs w:val="24"/>
        </w:rPr>
      </w:pPr>
      <w:r w:rsidRPr="00CA2890">
        <w:rPr>
          <w:rFonts w:asciiTheme="minorHAnsi" w:hAnsiTheme="minorHAnsi"/>
          <w:b/>
          <w:szCs w:val="24"/>
        </w:rPr>
        <w:t>End of Document</w:t>
      </w:r>
    </w:p>
    <w:sectPr w:rsidR="00AE6DFD" w:rsidRPr="00C771AE" w:rsidSect="007E4F5A">
      <w:headerReference w:type="even" r:id="rId13"/>
      <w:headerReference w:type="default" r:id="rId14"/>
      <w:footerReference w:type="even" r:id="rId15"/>
      <w:footerReference w:type="default" r:id="rId16"/>
      <w:headerReference w:type="first" r:id="rId17"/>
      <w:footerReference w:type="first" r:id="rId18"/>
      <w:pgSz w:w="11906" w:h="16838" w:code="9"/>
      <w:pgMar w:top="421" w:right="1134" w:bottom="709" w:left="1134"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6081" w14:textId="77777777" w:rsidR="00DB0975" w:rsidRDefault="00DB0975" w:rsidP="00AE6DFD">
      <w:r>
        <w:separator/>
      </w:r>
    </w:p>
  </w:endnote>
  <w:endnote w:type="continuationSeparator" w:id="0">
    <w:p w14:paraId="60390342" w14:textId="77777777" w:rsidR="00DB0975" w:rsidRDefault="00DB0975" w:rsidP="00AE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C0C3" w14:textId="77777777" w:rsidR="00D70D52" w:rsidRDefault="00D70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4" w:space="0" w:color="auto"/>
      </w:tblBorders>
      <w:tblLayout w:type="fixed"/>
      <w:tblLook w:val="0000" w:firstRow="0" w:lastRow="0" w:firstColumn="0" w:lastColumn="0" w:noHBand="0" w:noVBand="0"/>
    </w:tblPr>
    <w:tblGrid>
      <w:gridCol w:w="9900"/>
    </w:tblGrid>
    <w:tr w:rsidR="00CA2890" w14:paraId="5FBC57F8" w14:textId="77777777">
      <w:trPr>
        <w:cantSplit/>
        <w:trHeight w:val="553"/>
      </w:trPr>
      <w:tc>
        <w:tcPr>
          <w:tcW w:w="9900" w:type="dxa"/>
        </w:tcPr>
        <w:p w14:paraId="52C6A244" w14:textId="77777777" w:rsidR="00CA2890" w:rsidRDefault="00CA2890">
          <w:pPr>
            <w:pStyle w:val="Header"/>
            <w:tabs>
              <w:tab w:val="center" w:pos="4820"/>
              <w:tab w:val="right" w:pos="9639"/>
            </w:tabs>
            <w:jc w:val="right"/>
            <w:rPr>
              <w:rFonts w:ascii="Times New Roman" w:hAnsi="Times New Roman"/>
              <w:snapToGrid w:val="0"/>
              <w:sz w:val="20"/>
            </w:rPr>
          </w:pP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C771AE">
            <w:rPr>
              <w:rFonts w:ascii="Times New Roman" w:hAnsi="Times New Roman"/>
              <w:noProof/>
              <w:snapToGrid w:val="0"/>
              <w:sz w:val="20"/>
            </w:rPr>
            <w:t>12</w:t>
          </w:r>
          <w:r>
            <w:rPr>
              <w:rFonts w:ascii="Times New Roman" w:hAnsi="Times New Roman"/>
              <w:snapToGrid w:val="0"/>
              <w:sz w:val="20"/>
            </w:rPr>
            <w:fldChar w:fldCharType="end"/>
          </w:r>
          <w:r>
            <w:rPr>
              <w:rFonts w:ascii="Times New Roman" w:hAnsi="Times New Roman"/>
              <w:snapToGrid w:val="0"/>
              <w:sz w:val="20"/>
            </w:rPr>
            <w:t xml:space="preserve"> of </w:t>
          </w:r>
          <w:r>
            <w:rPr>
              <w:rFonts w:ascii="Times New Roman" w:hAnsi="Times New Roman"/>
              <w:snapToGrid w:val="0"/>
              <w:sz w:val="20"/>
            </w:rPr>
            <w:fldChar w:fldCharType="begin"/>
          </w:r>
          <w:r>
            <w:rPr>
              <w:rFonts w:ascii="Times New Roman" w:hAnsi="Times New Roman"/>
              <w:snapToGrid w:val="0"/>
              <w:sz w:val="20"/>
            </w:rPr>
            <w:instrText xml:space="preserve"> NUMPAGES </w:instrText>
          </w:r>
          <w:r>
            <w:rPr>
              <w:rFonts w:ascii="Times New Roman" w:hAnsi="Times New Roman"/>
              <w:snapToGrid w:val="0"/>
              <w:sz w:val="20"/>
            </w:rPr>
            <w:fldChar w:fldCharType="separate"/>
          </w:r>
          <w:r w:rsidR="00C771AE">
            <w:rPr>
              <w:rFonts w:ascii="Times New Roman" w:hAnsi="Times New Roman"/>
              <w:noProof/>
              <w:snapToGrid w:val="0"/>
              <w:sz w:val="20"/>
            </w:rPr>
            <w:t>13</w:t>
          </w:r>
          <w:r>
            <w:rPr>
              <w:rFonts w:ascii="Times New Roman" w:hAnsi="Times New Roman"/>
              <w:snapToGrid w:val="0"/>
              <w:sz w:val="20"/>
            </w:rPr>
            <w:fldChar w:fldCharType="end"/>
          </w:r>
        </w:p>
        <w:p w14:paraId="294BE5D1" w14:textId="77777777" w:rsidR="00CA2890" w:rsidRDefault="00CA2890">
          <w:pPr>
            <w:pStyle w:val="Header"/>
            <w:tabs>
              <w:tab w:val="center" w:pos="4820"/>
              <w:tab w:val="right" w:pos="9639"/>
            </w:tabs>
            <w:jc w:val="right"/>
            <w:rPr>
              <w:rFonts w:ascii="Times New Roman" w:hAnsi="Times New Roman"/>
              <w:sz w:val="20"/>
            </w:rPr>
          </w:pPr>
        </w:p>
      </w:tc>
    </w:tr>
  </w:tbl>
  <w:p w14:paraId="5787A527" w14:textId="77777777" w:rsidR="00CA2890" w:rsidRDefault="00CA2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91F5" w14:textId="77777777" w:rsidR="00D70D52" w:rsidRDefault="00D70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AD13" w14:textId="77777777" w:rsidR="00DB0975" w:rsidRDefault="00DB0975" w:rsidP="00AE6DFD">
      <w:r>
        <w:separator/>
      </w:r>
    </w:p>
  </w:footnote>
  <w:footnote w:type="continuationSeparator" w:id="0">
    <w:p w14:paraId="6AC5B4D5" w14:textId="77777777" w:rsidR="00DB0975" w:rsidRDefault="00DB0975" w:rsidP="00AE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723B" w14:textId="28F8D26C" w:rsidR="00D70D52" w:rsidRDefault="00DB0975">
    <w:pPr>
      <w:pStyle w:val="Header"/>
    </w:pPr>
    <w:r>
      <w:rPr>
        <w:noProof/>
      </w:rPr>
      <w:pict w14:anchorId="4CF68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04876" o:spid="_x0000_s1026" type="#_x0000_t136" style="position:absolute;margin-left:0;margin-top:0;width:653.25pt;height:26.1pt;rotation:315;z-index:-251655168;mso-position-horizontal:center;mso-position-horizontal-relative:margin;mso-position-vertical:center;mso-position-vertical-relative:margin" o:allowincell="f" fillcolor="silver" stroked="f">
          <v:fill opacity=".5"/>
          <v:textpath style="font-family:&quot;Arial&quot;;font-size:1pt" string="NOT DOCUMENT CONTROLLED ONCE PRINTED/COPI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B631" w14:textId="5786B0F0" w:rsidR="00CA2890" w:rsidRPr="00D12DB9" w:rsidRDefault="00DB0975">
    <w:pPr>
      <w:rPr>
        <w:rFonts w:asciiTheme="minorHAnsi" w:hAnsiTheme="minorHAnsi"/>
      </w:rPr>
    </w:pPr>
    <w:r>
      <w:rPr>
        <w:noProof/>
      </w:rPr>
      <w:pict w14:anchorId="73607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04877" o:spid="_x0000_s1027" type="#_x0000_t136" style="position:absolute;margin-left:0;margin-top:0;width:653.25pt;height:26.1pt;rotation:315;z-index:-251653120;mso-position-horizontal:center;mso-position-horizontal-relative:margin;mso-position-vertical:center;mso-position-vertical-relative:margin" o:allowincell="f" fillcolor="silver" stroked="f">
          <v:fill opacity=".5"/>
          <v:textpath style="font-family:&quot;Arial&quot;;font-size:1pt" string="NOT DOCUMENT CONTROLLED ONCE PRINTED/COPIED"/>
          <w10:wrap anchorx="margin" anchory="margin"/>
        </v:shape>
      </w:pict>
    </w:r>
    <w:r w:rsidR="00B77BFB">
      <w:rPr>
        <w:rFonts w:asciiTheme="minorHAnsi" w:hAnsiTheme="minorHAnsi"/>
      </w:rPr>
      <w:t>C</w:t>
    </w:r>
    <w:r w:rsidR="00CA2890" w:rsidRPr="00D12DB9">
      <w:rPr>
        <w:rFonts w:asciiTheme="minorHAnsi" w:hAnsiTheme="minorHAnsi"/>
      </w:rPr>
      <w:t>SOP No.</w:t>
    </w:r>
    <w:r w:rsidR="00CA2890">
      <w:rPr>
        <w:rFonts w:asciiTheme="minorHAnsi" w:hAnsiTheme="minorHAnsi"/>
      </w:rPr>
      <w:t xml:space="preserve"> 0</w:t>
    </w:r>
    <w:r w:rsidR="00B77BFB">
      <w:rPr>
        <w:rFonts w:asciiTheme="minorHAnsi" w:hAnsiTheme="minorHAnsi"/>
      </w:rPr>
      <w:t>34</w:t>
    </w:r>
  </w:p>
  <w:tbl>
    <w:tblPr>
      <w:tblW w:w="0" w:type="auto"/>
      <w:tblInd w:w="-72" w:type="dxa"/>
      <w:tblBorders>
        <w:bottom w:val="single" w:sz="4" w:space="0" w:color="auto"/>
      </w:tblBorders>
      <w:tblLayout w:type="fixed"/>
      <w:tblLook w:val="0000" w:firstRow="0" w:lastRow="0" w:firstColumn="0" w:lastColumn="0" w:noHBand="0" w:noVBand="0"/>
    </w:tblPr>
    <w:tblGrid>
      <w:gridCol w:w="9900"/>
    </w:tblGrid>
    <w:tr w:rsidR="00CA2890" w14:paraId="6A1D344C" w14:textId="77777777">
      <w:trPr>
        <w:cantSplit/>
        <w:trHeight w:val="851"/>
      </w:trPr>
      <w:tc>
        <w:tcPr>
          <w:tcW w:w="9900" w:type="dxa"/>
        </w:tcPr>
        <w:p w14:paraId="034E4395" w14:textId="2FB5A725" w:rsidR="00CA2890" w:rsidRDefault="00CA2890" w:rsidP="004C4790">
          <w:pPr>
            <w:pStyle w:val="Header"/>
            <w:tabs>
              <w:tab w:val="center" w:pos="4820"/>
              <w:tab w:val="right" w:pos="9639"/>
            </w:tabs>
            <w:jc w:val="center"/>
            <w:rPr>
              <w:rFonts w:ascii="Times New Roman" w:hAnsi="Times New Roman"/>
              <w:sz w:val="20"/>
            </w:rPr>
          </w:pPr>
          <w:r>
            <w:rPr>
              <w:noProof/>
              <w:lang w:val="en-US"/>
            </w:rPr>
            <w:drawing>
              <wp:inline distT="0" distB="0" distL="0" distR="0" wp14:anchorId="57CC2D22" wp14:editId="780F7987">
                <wp:extent cx="1571625" cy="906296"/>
                <wp:effectExtent l="0" t="0" r="0" b="8255"/>
                <wp:docPr id="1" name="Picture 1" descr="http://taas-sp-app-01/MandC/Shared%20Documents/4.%20Brand/Logos/Formats%20for%20online%20and%20office%20use/HEMS/PNG/Logo-main-web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aas-sp-app-01/MandC/Shared%20Documents/4.%20Brand/Logos/Formats%20for%20online%20and%20office%20use/HEMS/PNG/Logo-main-webQuali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50" cy="915075"/>
                        </a:xfrm>
                        <a:prstGeom prst="rect">
                          <a:avLst/>
                        </a:prstGeom>
                        <a:noFill/>
                        <a:ln>
                          <a:noFill/>
                        </a:ln>
                      </pic:spPr>
                    </pic:pic>
                  </a:graphicData>
                </a:graphic>
              </wp:inline>
            </w:drawing>
          </w:r>
        </w:p>
        <w:p w14:paraId="66DA0890" w14:textId="77777777" w:rsidR="00D70D52" w:rsidRDefault="00D70D52" w:rsidP="004C4790">
          <w:pPr>
            <w:pStyle w:val="Header"/>
            <w:tabs>
              <w:tab w:val="center" w:pos="4820"/>
              <w:tab w:val="right" w:pos="9639"/>
            </w:tabs>
            <w:jc w:val="center"/>
            <w:rPr>
              <w:rFonts w:ascii="Times New Roman" w:hAnsi="Times New Roman"/>
              <w:sz w:val="20"/>
            </w:rPr>
          </w:pPr>
        </w:p>
        <w:p w14:paraId="6C834D12" w14:textId="77777777" w:rsidR="00CA2890" w:rsidRDefault="00CA2890" w:rsidP="00AE6DFD">
          <w:pPr>
            <w:pStyle w:val="Header"/>
            <w:tabs>
              <w:tab w:val="center" w:pos="4820"/>
              <w:tab w:val="right" w:pos="9639"/>
            </w:tabs>
            <w:jc w:val="center"/>
            <w:rPr>
              <w:rFonts w:ascii="Times New Roman" w:hAnsi="Times New Roman"/>
              <w:sz w:val="20"/>
            </w:rPr>
          </w:pPr>
        </w:p>
        <w:p w14:paraId="04309040" w14:textId="77777777" w:rsidR="00CA2890" w:rsidRDefault="00CA2890">
          <w:pPr>
            <w:pStyle w:val="Header"/>
            <w:tabs>
              <w:tab w:val="center" w:pos="4820"/>
              <w:tab w:val="right" w:pos="9639"/>
            </w:tabs>
            <w:jc w:val="right"/>
            <w:rPr>
              <w:rFonts w:ascii="Times New Roman" w:hAnsi="Times New Roman"/>
              <w:sz w:val="20"/>
            </w:rPr>
          </w:pPr>
        </w:p>
        <w:p w14:paraId="561A903C" w14:textId="77777777" w:rsidR="00CA2890" w:rsidRDefault="00CA2890" w:rsidP="00AE6DFD">
          <w:pPr>
            <w:pStyle w:val="Header"/>
            <w:tabs>
              <w:tab w:val="center" w:pos="4820"/>
              <w:tab w:val="right" w:pos="9639"/>
            </w:tabs>
            <w:rPr>
              <w:rFonts w:ascii="Times New Roman" w:hAnsi="Times New Roman"/>
              <w:sz w:val="20"/>
            </w:rPr>
          </w:pPr>
        </w:p>
        <w:p w14:paraId="371775FA" w14:textId="0ED8DAB1" w:rsidR="00CA2890" w:rsidRPr="00CA2890" w:rsidRDefault="00CA2890" w:rsidP="00CA2890">
          <w:pPr>
            <w:pStyle w:val="Default"/>
            <w:jc w:val="center"/>
            <w:rPr>
              <w:rFonts w:asciiTheme="minorHAnsi" w:hAnsiTheme="minorHAnsi"/>
              <w:b/>
              <w:sz w:val="28"/>
              <w:szCs w:val="28"/>
            </w:rPr>
          </w:pPr>
          <w:r>
            <w:rPr>
              <w:rFonts w:asciiTheme="minorHAnsi" w:hAnsiTheme="minorHAnsi"/>
              <w:b/>
            </w:rPr>
            <w:t>CSOP 0</w:t>
          </w:r>
          <w:r w:rsidR="00B77BFB">
            <w:rPr>
              <w:rFonts w:asciiTheme="minorHAnsi" w:hAnsiTheme="minorHAnsi"/>
              <w:b/>
            </w:rPr>
            <w:t>34</w:t>
          </w:r>
          <w:r>
            <w:rPr>
              <w:rFonts w:asciiTheme="minorHAnsi" w:hAnsiTheme="minorHAnsi"/>
              <w:b/>
            </w:rPr>
            <w:t xml:space="preserve"> – </w:t>
          </w:r>
          <w:r w:rsidRPr="00CA2890">
            <w:rPr>
              <w:rFonts w:asciiTheme="minorHAnsi" w:hAnsiTheme="minorHAnsi"/>
              <w:b/>
              <w:sz w:val="28"/>
              <w:szCs w:val="28"/>
            </w:rPr>
            <w:t>PREHOSPITAL BLOOD ADMINISTRATION</w:t>
          </w:r>
        </w:p>
        <w:p w14:paraId="541C3559" w14:textId="7DBC2D01" w:rsidR="00CA2890" w:rsidRPr="00D12DB9" w:rsidRDefault="00CA2890" w:rsidP="00B8274D">
          <w:pPr>
            <w:pStyle w:val="Header"/>
            <w:tabs>
              <w:tab w:val="center" w:pos="4820"/>
              <w:tab w:val="right" w:pos="9639"/>
            </w:tabs>
            <w:jc w:val="center"/>
            <w:rPr>
              <w:rFonts w:asciiTheme="minorHAnsi" w:hAnsiTheme="minorHAnsi"/>
              <w:b/>
              <w:szCs w:val="24"/>
            </w:rPr>
          </w:pPr>
        </w:p>
        <w:p w14:paraId="59377238" w14:textId="77777777" w:rsidR="00CA2890" w:rsidRPr="00D12DB9" w:rsidRDefault="00CA2890" w:rsidP="00AE6DFD">
          <w:pPr>
            <w:pStyle w:val="Header"/>
            <w:tabs>
              <w:tab w:val="center" w:pos="4820"/>
              <w:tab w:val="right" w:pos="9639"/>
            </w:tabs>
            <w:jc w:val="center"/>
            <w:rPr>
              <w:rFonts w:asciiTheme="minorHAnsi" w:hAnsiTheme="minorHAnsi"/>
              <w:szCs w:val="24"/>
            </w:rPr>
          </w:pPr>
        </w:p>
        <w:p w14:paraId="3F25B4D9" w14:textId="2CCB881F" w:rsidR="00CA2890" w:rsidRPr="00D12DB9" w:rsidRDefault="00CA2890" w:rsidP="00D12DB9">
          <w:pPr>
            <w:pStyle w:val="Header"/>
            <w:tabs>
              <w:tab w:val="center" w:pos="4820"/>
              <w:tab w:val="right" w:pos="9639"/>
            </w:tabs>
            <w:rPr>
              <w:rFonts w:asciiTheme="minorHAnsi" w:hAnsiTheme="minorHAnsi"/>
              <w:szCs w:val="24"/>
            </w:rPr>
          </w:pPr>
          <w:r>
            <w:rPr>
              <w:rFonts w:asciiTheme="minorHAnsi" w:hAnsiTheme="minorHAnsi"/>
              <w:szCs w:val="24"/>
            </w:rPr>
            <w:t xml:space="preserve">Version No: </w:t>
          </w:r>
          <w:r w:rsidRPr="00D12DB9">
            <w:rPr>
              <w:rFonts w:asciiTheme="minorHAnsi" w:hAnsiTheme="minorHAnsi"/>
              <w:szCs w:val="24"/>
            </w:rPr>
            <w:t xml:space="preserve">             </w:t>
          </w:r>
          <w:r>
            <w:rPr>
              <w:rFonts w:asciiTheme="minorHAnsi" w:hAnsiTheme="minorHAnsi"/>
              <w:szCs w:val="24"/>
            </w:rPr>
            <w:t>1</w:t>
          </w:r>
          <w:r w:rsidR="00572B78">
            <w:rPr>
              <w:rFonts w:asciiTheme="minorHAnsi" w:hAnsiTheme="minorHAnsi"/>
              <w:szCs w:val="24"/>
            </w:rPr>
            <w:t>.0</w:t>
          </w:r>
          <w:r w:rsidRPr="00D12DB9">
            <w:rPr>
              <w:rFonts w:asciiTheme="minorHAnsi" w:hAnsiTheme="minorHAnsi"/>
              <w:szCs w:val="24"/>
            </w:rPr>
            <w:t xml:space="preserve">                                                                       </w:t>
          </w:r>
          <w:r>
            <w:rPr>
              <w:rFonts w:asciiTheme="minorHAnsi" w:hAnsiTheme="minorHAnsi"/>
              <w:szCs w:val="24"/>
            </w:rPr>
            <w:t xml:space="preserve">       Effective date:  1</w:t>
          </w:r>
          <w:r w:rsidRPr="00CA2890">
            <w:rPr>
              <w:rFonts w:asciiTheme="minorHAnsi" w:hAnsiTheme="minorHAnsi"/>
              <w:szCs w:val="24"/>
              <w:vertAlign w:val="superscript"/>
            </w:rPr>
            <w:t>st</w:t>
          </w:r>
          <w:r>
            <w:rPr>
              <w:rFonts w:asciiTheme="minorHAnsi" w:hAnsiTheme="minorHAnsi"/>
              <w:szCs w:val="24"/>
            </w:rPr>
            <w:t xml:space="preserve"> February 2022</w:t>
          </w:r>
        </w:p>
        <w:p w14:paraId="2497AEE4" w14:textId="77777777" w:rsidR="00CA2890" w:rsidRDefault="00CA2890">
          <w:pPr>
            <w:pStyle w:val="Header"/>
            <w:tabs>
              <w:tab w:val="center" w:pos="4820"/>
              <w:tab w:val="right" w:pos="9639"/>
            </w:tabs>
            <w:jc w:val="right"/>
          </w:pPr>
        </w:p>
      </w:tc>
    </w:tr>
  </w:tbl>
  <w:p w14:paraId="7D6C2EC8" w14:textId="77777777" w:rsidR="00CA2890" w:rsidRDefault="00CA2890">
    <w:pPr>
      <w:pStyle w:val="Header"/>
      <w:tabs>
        <w:tab w:val="clear" w:pos="4153"/>
        <w:tab w:val="clear" w:pos="8306"/>
        <w:tab w:val="center" w:pos="4820"/>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7DA0" w14:textId="48F582C7" w:rsidR="00D70D52" w:rsidRDefault="00DB0975">
    <w:pPr>
      <w:pStyle w:val="Header"/>
    </w:pPr>
    <w:r>
      <w:rPr>
        <w:noProof/>
      </w:rPr>
      <w:pict w14:anchorId="5969B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04875" o:spid="_x0000_s1025" type="#_x0000_t136" style="position:absolute;margin-left:0;margin-top:0;width:653.25pt;height:26.1pt;rotation:315;z-index:-251657216;mso-position-horizontal:center;mso-position-horizontal-relative:margin;mso-position-vertical:center;mso-position-vertical-relative:margin" o:allowincell="f" fillcolor="silver" stroked="f">
          <v:fill opacity=".5"/>
          <v:textpath style="font-family:&quot;Arial&quot;;font-size:1pt" string="NOT DOCUMENT CONTROLLED ONCE PRINTED/COPI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A3B54"/>
    <w:multiLevelType w:val="hybridMultilevel"/>
    <w:tmpl w:val="65B42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6574F"/>
    <w:multiLevelType w:val="hybridMultilevel"/>
    <w:tmpl w:val="8F7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C6DEB"/>
    <w:multiLevelType w:val="hybridMultilevel"/>
    <w:tmpl w:val="1DF8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50CDD"/>
    <w:multiLevelType w:val="hybridMultilevel"/>
    <w:tmpl w:val="67E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5527B"/>
    <w:multiLevelType w:val="hybridMultilevel"/>
    <w:tmpl w:val="197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51638"/>
    <w:multiLevelType w:val="hybridMultilevel"/>
    <w:tmpl w:val="1842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9C63D2"/>
    <w:multiLevelType w:val="hybridMultilevel"/>
    <w:tmpl w:val="542EE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D0C93"/>
    <w:multiLevelType w:val="hybridMultilevel"/>
    <w:tmpl w:val="3F2C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860C4"/>
    <w:multiLevelType w:val="singleLevel"/>
    <w:tmpl w:val="0809000F"/>
    <w:lvl w:ilvl="0">
      <w:start w:val="1"/>
      <w:numFmt w:val="decimal"/>
      <w:lvlText w:val="%1."/>
      <w:lvlJc w:val="left"/>
      <w:pPr>
        <w:ind w:left="360" w:hanging="360"/>
      </w:pPr>
    </w:lvl>
  </w:abstractNum>
  <w:abstractNum w:abstractNumId="10" w15:restartNumberingAfterBreak="0">
    <w:nsid w:val="1D6723BF"/>
    <w:multiLevelType w:val="hybridMultilevel"/>
    <w:tmpl w:val="FC6C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62189"/>
    <w:multiLevelType w:val="hybridMultilevel"/>
    <w:tmpl w:val="61AC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A5833"/>
    <w:multiLevelType w:val="hybridMultilevel"/>
    <w:tmpl w:val="D3308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01CE7"/>
    <w:multiLevelType w:val="multilevel"/>
    <w:tmpl w:val="5FF6DF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3DE1553"/>
    <w:multiLevelType w:val="hybridMultilevel"/>
    <w:tmpl w:val="9066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208B0"/>
    <w:multiLevelType w:val="hybridMultilevel"/>
    <w:tmpl w:val="E9E80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D1C07"/>
    <w:multiLevelType w:val="hybridMultilevel"/>
    <w:tmpl w:val="EE38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01B94"/>
    <w:multiLevelType w:val="hybridMultilevel"/>
    <w:tmpl w:val="594650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A47B19"/>
    <w:multiLevelType w:val="hybridMultilevel"/>
    <w:tmpl w:val="5FF6DF74"/>
    <w:lvl w:ilvl="0" w:tplc="DC042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0A4EDA"/>
    <w:multiLevelType w:val="hybridMultilevel"/>
    <w:tmpl w:val="A7A6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53E13"/>
    <w:multiLevelType w:val="hybridMultilevel"/>
    <w:tmpl w:val="58BC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C3F94"/>
    <w:multiLevelType w:val="hybridMultilevel"/>
    <w:tmpl w:val="ADCC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D4467"/>
    <w:multiLevelType w:val="multilevel"/>
    <w:tmpl w:val="5FF6DF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4D06EAC"/>
    <w:multiLevelType w:val="multilevel"/>
    <w:tmpl w:val="5BA07EC4"/>
    <w:lvl w:ilvl="0">
      <w:start w:val="1"/>
      <w:numFmt w:val="decimal"/>
      <w:pStyle w:val="Heading1"/>
      <w:lvlText w:val="%1."/>
      <w:lvlJc w:val="left"/>
      <w:pPr>
        <w:tabs>
          <w:tab w:val="num" w:pos="567"/>
        </w:tabs>
        <w:ind w:left="567" w:hanging="567"/>
      </w:pPr>
      <w:rPr>
        <w:rFonts w:ascii="Times New Roman" w:hAnsi="Times New Roman" w:hint="default"/>
        <w:b/>
        <w:i w:val="0"/>
        <w:sz w:val="24"/>
        <w:u w:val="none"/>
      </w:rPr>
    </w:lvl>
    <w:lvl w:ilvl="1">
      <w:start w:val="1"/>
      <w:numFmt w:val="decimal"/>
      <w:pStyle w:val="Heading2"/>
      <w:lvlText w:val="%1.%2"/>
      <w:lvlJc w:val="left"/>
      <w:pPr>
        <w:tabs>
          <w:tab w:val="num" w:pos="1134"/>
        </w:tabs>
        <w:ind w:left="1134" w:hanging="567"/>
      </w:pPr>
      <w:rPr>
        <w:rFonts w:ascii="Times New Roman" w:hAnsi="Times New Roman" w:hint="default"/>
        <w:b w:val="0"/>
        <w:i w:val="0"/>
        <w:sz w:val="24"/>
        <w:u w:val="none"/>
      </w:rPr>
    </w:lvl>
    <w:lvl w:ilvl="2">
      <w:start w:val="1"/>
      <w:numFmt w:val="decimal"/>
      <w:pStyle w:val="Heading3"/>
      <w:lvlText w:val="%1.%2.%3"/>
      <w:lvlJc w:val="left"/>
      <w:pPr>
        <w:tabs>
          <w:tab w:val="num" w:pos="1701"/>
        </w:tabs>
        <w:ind w:left="1701" w:hanging="567"/>
      </w:pPr>
      <w:rPr>
        <w:rFonts w:ascii="Times New Roman" w:hAnsi="Times New Roman" w:hint="default"/>
        <w:b w:val="0"/>
        <w:i w:val="0"/>
        <w:sz w:val="24"/>
      </w:rPr>
    </w:lvl>
    <w:lvl w:ilvl="3">
      <w:start w:val="1"/>
      <w:numFmt w:val="lowerLetter"/>
      <w:pStyle w:val="Heading4"/>
      <w:lvlText w:val="%4)"/>
      <w:lvlJc w:val="left"/>
      <w:pPr>
        <w:tabs>
          <w:tab w:val="num" w:pos="2268"/>
        </w:tabs>
        <w:ind w:left="2268" w:hanging="567"/>
      </w:pPr>
      <w:rPr>
        <w:rFonts w:ascii="Times New Roman" w:hAnsi="Times New Roman" w:hint="default"/>
        <w:b w:val="0"/>
        <w:i w:val="0"/>
        <w:sz w:val="24"/>
      </w:rPr>
    </w:lvl>
    <w:lvl w:ilvl="4">
      <w:start w:val="1"/>
      <w:numFmt w:val="lowerRoman"/>
      <w:pStyle w:val="Heading5"/>
      <w:lvlText w:val="(%5)"/>
      <w:lvlJc w:val="left"/>
      <w:pPr>
        <w:tabs>
          <w:tab w:val="num" w:pos="2988"/>
        </w:tabs>
        <w:ind w:left="2835" w:hanging="567"/>
      </w:pPr>
      <w:rPr>
        <w:rFonts w:ascii="Times New Roman" w:hAnsi="Times New Roman" w:hint="default"/>
        <w:b w:val="0"/>
        <w:i w:val="0"/>
        <w:sz w:val="24"/>
      </w:r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15:restartNumberingAfterBreak="0">
    <w:nsid w:val="5BEB03BF"/>
    <w:multiLevelType w:val="hybridMultilevel"/>
    <w:tmpl w:val="C8E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91790"/>
    <w:multiLevelType w:val="hybridMultilevel"/>
    <w:tmpl w:val="552C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FE0AE3"/>
    <w:multiLevelType w:val="hybridMultilevel"/>
    <w:tmpl w:val="8EE6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7E6BAE"/>
    <w:multiLevelType w:val="multilevel"/>
    <w:tmpl w:val="5FF6DF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5D86594"/>
    <w:multiLevelType w:val="multilevel"/>
    <w:tmpl w:val="5FF6DF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AE352AD"/>
    <w:multiLevelType w:val="hybridMultilevel"/>
    <w:tmpl w:val="0F08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950A1"/>
    <w:multiLevelType w:val="hybridMultilevel"/>
    <w:tmpl w:val="F078D3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D5933"/>
    <w:multiLevelType w:val="hybridMultilevel"/>
    <w:tmpl w:val="A0E2903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057E4"/>
    <w:multiLevelType w:val="hybridMultilevel"/>
    <w:tmpl w:val="2598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4A00A4"/>
    <w:multiLevelType w:val="hybridMultilevel"/>
    <w:tmpl w:val="6FC8C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9"/>
  </w:num>
  <w:num w:numId="3">
    <w:abstractNumId w:val="0"/>
  </w:num>
  <w:num w:numId="4">
    <w:abstractNumId w:val="29"/>
  </w:num>
  <w:num w:numId="5">
    <w:abstractNumId w:val="30"/>
  </w:num>
  <w:num w:numId="6">
    <w:abstractNumId w:val="12"/>
  </w:num>
  <w:num w:numId="7">
    <w:abstractNumId w:val="26"/>
  </w:num>
  <w:num w:numId="8">
    <w:abstractNumId w:val="11"/>
  </w:num>
  <w:num w:numId="9">
    <w:abstractNumId w:val="18"/>
  </w:num>
  <w:num w:numId="10">
    <w:abstractNumId w:val="27"/>
  </w:num>
  <w:num w:numId="11">
    <w:abstractNumId w:val="13"/>
  </w:num>
  <w:num w:numId="12">
    <w:abstractNumId w:val="28"/>
  </w:num>
  <w:num w:numId="13">
    <w:abstractNumId w:val="22"/>
  </w:num>
  <w:num w:numId="14">
    <w:abstractNumId w:val="21"/>
  </w:num>
  <w:num w:numId="15">
    <w:abstractNumId w:val="25"/>
  </w:num>
  <w:num w:numId="16">
    <w:abstractNumId w:val="6"/>
  </w:num>
  <w:num w:numId="17">
    <w:abstractNumId w:val="20"/>
  </w:num>
  <w:num w:numId="18">
    <w:abstractNumId w:val="32"/>
  </w:num>
  <w:num w:numId="19">
    <w:abstractNumId w:val="9"/>
    <w:lvlOverride w:ilvl="0">
      <w:startOverride w:val="1"/>
    </w:lvlOverride>
  </w:num>
  <w:num w:numId="20">
    <w:abstractNumId w:val="1"/>
  </w:num>
  <w:num w:numId="21">
    <w:abstractNumId w:val="33"/>
  </w:num>
  <w:num w:numId="22">
    <w:abstractNumId w:val="15"/>
  </w:num>
  <w:num w:numId="23">
    <w:abstractNumId w:val="3"/>
  </w:num>
  <w:num w:numId="24">
    <w:abstractNumId w:val="7"/>
  </w:num>
  <w:num w:numId="25">
    <w:abstractNumId w:val="16"/>
  </w:num>
  <w:num w:numId="26">
    <w:abstractNumId w:val="14"/>
  </w:num>
  <w:num w:numId="27">
    <w:abstractNumId w:val="17"/>
  </w:num>
  <w:num w:numId="28">
    <w:abstractNumId w:val="31"/>
  </w:num>
  <w:num w:numId="29">
    <w:abstractNumId w:val="8"/>
  </w:num>
  <w:num w:numId="30">
    <w:abstractNumId w:val="5"/>
  </w:num>
  <w:num w:numId="31">
    <w:abstractNumId w:val="19"/>
  </w:num>
  <w:num w:numId="32">
    <w:abstractNumId w:val="2"/>
  </w:num>
  <w:num w:numId="33">
    <w:abstractNumId w:val="24"/>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DFD"/>
    <w:rsid w:val="00001DA1"/>
    <w:rsid w:val="00010480"/>
    <w:rsid w:val="00020C99"/>
    <w:rsid w:val="000572CF"/>
    <w:rsid w:val="00066600"/>
    <w:rsid w:val="000C45D1"/>
    <w:rsid w:val="000E2D2F"/>
    <w:rsid w:val="00136791"/>
    <w:rsid w:val="00180A55"/>
    <w:rsid w:val="00182A5B"/>
    <w:rsid w:val="001A6510"/>
    <w:rsid w:val="001D48D6"/>
    <w:rsid w:val="00226837"/>
    <w:rsid w:val="00235B79"/>
    <w:rsid w:val="002576BA"/>
    <w:rsid w:val="00264433"/>
    <w:rsid w:val="0026727F"/>
    <w:rsid w:val="00276AAB"/>
    <w:rsid w:val="002841E2"/>
    <w:rsid w:val="002961D2"/>
    <w:rsid w:val="002E0C47"/>
    <w:rsid w:val="002E71D4"/>
    <w:rsid w:val="002F499B"/>
    <w:rsid w:val="00314BA7"/>
    <w:rsid w:val="003353D9"/>
    <w:rsid w:val="003659E7"/>
    <w:rsid w:val="00381E79"/>
    <w:rsid w:val="003B6C3E"/>
    <w:rsid w:val="003C1750"/>
    <w:rsid w:val="00415750"/>
    <w:rsid w:val="00467C01"/>
    <w:rsid w:val="004C4790"/>
    <w:rsid w:val="004C74FE"/>
    <w:rsid w:val="004D255D"/>
    <w:rsid w:val="004D2BC2"/>
    <w:rsid w:val="00527730"/>
    <w:rsid w:val="00531CC1"/>
    <w:rsid w:val="00536FCC"/>
    <w:rsid w:val="00550260"/>
    <w:rsid w:val="00572B78"/>
    <w:rsid w:val="005806F1"/>
    <w:rsid w:val="00595342"/>
    <w:rsid w:val="005C5680"/>
    <w:rsid w:val="005E03A2"/>
    <w:rsid w:val="006303CF"/>
    <w:rsid w:val="0066326D"/>
    <w:rsid w:val="00687AA0"/>
    <w:rsid w:val="006D3DC2"/>
    <w:rsid w:val="007022A0"/>
    <w:rsid w:val="007360FC"/>
    <w:rsid w:val="007401AD"/>
    <w:rsid w:val="00754E9C"/>
    <w:rsid w:val="00762EF9"/>
    <w:rsid w:val="007A23C7"/>
    <w:rsid w:val="007D27F2"/>
    <w:rsid w:val="007E4F5A"/>
    <w:rsid w:val="007F37B2"/>
    <w:rsid w:val="008233D0"/>
    <w:rsid w:val="008361E8"/>
    <w:rsid w:val="00846EA1"/>
    <w:rsid w:val="0086262A"/>
    <w:rsid w:val="008829F0"/>
    <w:rsid w:val="008D409E"/>
    <w:rsid w:val="008D5E5C"/>
    <w:rsid w:val="008E5EFA"/>
    <w:rsid w:val="00965414"/>
    <w:rsid w:val="00971DA4"/>
    <w:rsid w:val="009801BA"/>
    <w:rsid w:val="009E4284"/>
    <w:rsid w:val="009F3023"/>
    <w:rsid w:val="00A11840"/>
    <w:rsid w:val="00A12092"/>
    <w:rsid w:val="00A30BAA"/>
    <w:rsid w:val="00A4203A"/>
    <w:rsid w:val="00AA012C"/>
    <w:rsid w:val="00AA1CCD"/>
    <w:rsid w:val="00AE6DFD"/>
    <w:rsid w:val="00B54818"/>
    <w:rsid w:val="00B62165"/>
    <w:rsid w:val="00B77BFB"/>
    <w:rsid w:val="00B8274D"/>
    <w:rsid w:val="00B85F31"/>
    <w:rsid w:val="00B906A3"/>
    <w:rsid w:val="00BA7DA0"/>
    <w:rsid w:val="00C32202"/>
    <w:rsid w:val="00C67387"/>
    <w:rsid w:val="00C771AE"/>
    <w:rsid w:val="00C8045C"/>
    <w:rsid w:val="00CA1050"/>
    <w:rsid w:val="00CA2890"/>
    <w:rsid w:val="00CB09A5"/>
    <w:rsid w:val="00CB4226"/>
    <w:rsid w:val="00CD785C"/>
    <w:rsid w:val="00D01F3B"/>
    <w:rsid w:val="00D12DB9"/>
    <w:rsid w:val="00D5058C"/>
    <w:rsid w:val="00D577F4"/>
    <w:rsid w:val="00D70D52"/>
    <w:rsid w:val="00D766E0"/>
    <w:rsid w:val="00D83A1C"/>
    <w:rsid w:val="00D84B15"/>
    <w:rsid w:val="00D87842"/>
    <w:rsid w:val="00DB0975"/>
    <w:rsid w:val="00DF3912"/>
    <w:rsid w:val="00EB7A07"/>
    <w:rsid w:val="00F147C9"/>
    <w:rsid w:val="00F31CCF"/>
    <w:rsid w:val="00F824B7"/>
    <w:rsid w:val="00F83190"/>
    <w:rsid w:val="00FA5808"/>
    <w:rsid w:val="00FD3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B3F31D"/>
  <w15:docId w15:val="{EB319AD3-C8D2-4364-9015-9D317BCA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FD"/>
    <w:pPr>
      <w:spacing w:after="0" w:line="240" w:lineRule="auto"/>
    </w:pPr>
    <w:rPr>
      <w:rFonts w:ascii="Arial" w:eastAsia="Times New Roman" w:hAnsi="Arial" w:cs="Times New Roman"/>
      <w:sz w:val="24"/>
      <w:szCs w:val="20"/>
    </w:rPr>
  </w:style>
  <w:style w:type="paragraph" w:styleId="Heading1">
    <w:name w:val="heading 1"/>
    <w:basedOn w:val="Normal"/>
    <w:link w:val="Heading1Char"/>
    <w:qFormat/>
    <w:rsid w:val="00AE6DFD"/>
    <w:pPr>
      <w:numPr>
        <w:numId w:val="1"/>
      </w:numPr>
      <w:spacing w:before="240" w:after="60"/>
      <w:outlineLvl w:val="0"/>
    </w:pPr>
    <w:rPr>
      <w:b/>
      <w:kern w:val="28"/>
      <w:u w:val="single"/>
    </w:rPr>
  </w:style>
  <w:style w:type="paragraph" w:styleId="Heading2">
    <w:name w:val="heading 2"/>
    <w:basedOn w:val="Normal"/>
    <w:link w:val="Heading2Char"/>
    <w:qFormat/>
    <w:rsid w:val="00AE6DFD"/>
    <w:pPr>
      <w:numPr>
        <w:ilvl w:val="1"/>
        <w:numId w:val="1"/>
      </w:numPr>
      <w:spacing w:before="240" w:after="60"/>
      <w:outlineLvl w:val="1"/>
    </w:pPr>
    <w:rPr>
      <w:u w:val="single"/>
    </w:rPr>
  </w:style>
  <w:style w:type="paragraph" w:styleId="Heading3">
    <w:name w:val="heading 3"/>
    <w:basedOn w:val="Normal"/>
    <w:link w:val="Heading3Char"/>
    <w:qFormat/>
    <w:rsid w:val="00AE6DFD"/>
    <w:pPr>
      <w:numPr>
        <w:ilvl w:val="2"/>
        <w:numId w:val="1"/>
      </w:numPr>
      <w:spacing w:before="240" w:after="60"/>
      <w:outlineLvl w:val="2"/>
    </w:pPr>
  </w:style>
  <w:style w:type="paragraph" w:styleId="Heading4">
    <w:name w:val="heading 4"/>
    <w:basedOn w:val="Normal"/>
    <w:link w:val="Heading4Char"/>
    <w:qFormat/>
    <w:rsid w:val="00AE6DFD"/>
    <w:pPr>
      <w:numPr>
        <w:ilvl w:val="3"/>
        <w:numId w:val="1"/>
      </w:numPr>
      <w:spacing w:before="240" w:after="60"/>
      <w:outlineLvl w:val="3"/>
    </w:pPr>
  </w:style>
  <w:style w:type="paragraph" w:styleId="Heading5">
    <w:name w:val="heading 5"/>
    <w:basedOn w:val="Normal"/>
    <w:next w:val="Normal"/>
    <w:link w:val="Heading5Char"/>
    <w:qFormat/>
    <w:rsid w:val="00AE6DFD"/>
    <w:pPr>
      <w:numPr>
        <w:ilvl w:val="4"/>
        <w:numId w:val="1"/>
      </w:numPr>
      <w:spacing w:before="240" w:after="60"/>
      <w:outlineLvl w:val="4"/>
    </w:pPr>
  </w:style>
  <w:style w:type="paragraph" w:styleId="Heading6">
    <w:name w:val="heading 6"/>
    <w:basedOn w:val="Normal"/>
    <w:next w:val="Normal"/>
    <w:link w:val="Heading6Char"/>
    <w:qFormat/>
    <w:rsid w:val="00AE6DFD"/>
    <w:pPr>
      <w:numPr>
        <w:ilvl w:val="5"/>
        <w:numId w:val="1"/>
      </w:numPr>
      <w:spacing w:before="240" w:after="60"/>
      <w:outlineLvl w:val="5"/>
    </w:pPr>
    <w:rPr>
      <w:i/>
      <w:sz w:val="22"/>
    </w:rPr>
  </w:style>
  <w:style w:type="paragraph" w:styleId="Heading7">
    <w:name w:val="heading 7"/>
    <w:basedOn w:val="Normal"/>
    <w:next w:val="Normal"/>
    <w:link w:val="Heading7Char"/>
    <w:qFormat/>
    <w:rsid w:val="00AE6DFD"/>
    <w:pPr>
      <w:numPr>
        <w:ilvl w:val="6"/>
        <w:numId w:val="1"/>
      </w:numPr>
      <w:spacing w:before="240" w:after="60"/>
      <w:outlineLvl w:val="6"/>
    </w:pPr>
    <w:rPr>
      <w:sz w:val="20"/>
    </w:rPr>
  </w:style>
  <w:style w:type="paragraph" w:styleId="Heading8">
    <w:name w:val="heading 8"/>
    <w:basedOn w:val="Normal"/>
    <w:next w:val="Normal"/>
    <w:link w:val="Heading8Char"/>
    <w:qFormat/>
    <w:rsid w:val="00AE6DFD"/>
    <w:pPr>
      <w:numPr>
        <w:ilvl w:val="7"/>
        <w:numId w:val="1"/>
      </w:numPr>
      <w:spacing w:before="240" w:after="60"/>
      <w:outlineLvl w:val="7"/>
    </w:pPr>
    <w:rPr>
      <w:i/>
      <w:sz w:val="20"/>
    </w:rPr>
  </w:style>
  <w:style w:type="paragraph" w:styleId="Heading9">
    <w:name w:val="heading 9"/>
    <w:basedOn w:val="Normal"/>
    <w:next w:val="Normal"/>
    <w:link w:val="Heading9Char"/>
    <w:qFormat/>
    <w:rsid w:val="00AE6DF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DFD"/>
    <w:rPr>
      <w:rFonts w:ascii="Arial" w:eastAsia="Times New Roman" w:hAnsi="Arial" w:cs="Times New Roman"/>
      <w:b/>
      <w:kern w:val="28"/>
      <w:sz w:val="24"/>
      <w:szCs w:val="20"/>
      <w:u w:val="single"/>
    </w:rPr>
  </w:style>
  <w:style w:type="character" w:customStyle="1" w:styleId="Heading2Char">
    <w:name w:val="Heading 2 Char"/>
    <w:basedOn w:val="DefaultParagraphFont"/>
    <w:link w:val="Heading2"/>
    <w:rsid w:val="00AE6DFD"/>
    <w:rPr>
      <w:rFonts w:ascii="Arial" w:eastAsia="Times New Roman" w:hAnsi="Arial" w:cs="Times New Roman"/>
      <w:sz w:val="24"/>
      <w:szCs w:val="20"/>
      <w:u w:val="single"/>
    </w:rPr>
  </w:style>
  <w:style w:type="character" w:customStyle="1" w:styleId="Heading3Char">
    <w:name w:val="Heading 3 Char"/>
    <w:basedOn w:val="DefaultParagraphFont"/>
    <w:link w:val="Heading3"/>
    <w:rsid w:val="00AE6DFD"/>
    <w:rPr>
      <w:rFonts w:ascii="Arial" w:eastAsia="Times New Roman" w:hAnsi="Arial" w:cs="Times New Roman"/>
      <w:sz w:val="24"/>
      <w:szCs w:val="20"/>
    </w:rPr>
  </w:style>
  <w:style w:type="character" w:customStyle="1" w:styleId="Heading4Char">
    <w:name w:val="Heading 4 Char"/>
    <w:basedOn w:val="DefaultParagraphFont"/>
    <w:link w:val="Heading4"/>
    <w:rsid w:val="00AE6DFD"/>
    <w:rPr>
      <w:rFonts w:ascii="Arial" w:eastAsia="Times New Roman" w:hAnsi="Arial" w:cs="Times New Roman"/>
      <w:sz w:val="24"/>
      <w:szCs w:val="20"/>
    </w:rPr>
  </w:style>
  <w:style w:type="character" w:customStyle="1" w:styleId="Heading5Char">
    <w:name w:val="Heading 5 Char"/>
    <w:basedOn w:val="DefaultParagraphFont"/>
    <w:link w:val="Heading5"/>
    <w:rsid w:val="00AE6DFD"/>
    <w:rPr>
      <w:rFonts w:ascii="Arial" w:eastAsia="Times New Roman" w:hAnsi="Arial" w:cs="Times New Roman"/>
      <w:sz w:val="24"/>
      <w:szCs w:val="20"/>
    </w:rPr>
  </w:style>
  <w:style w:type="character" w:customStyle="1" w:styleId="Heading6Char">
    <w:name w:val="Heading 6 Char"/>
    <w:basedOn w:val="DefaultParagraphFont"/>
    <w:link w:val="Heading6"/>
    <w:rsid w:val="00AE6DFD"/>
    <w:rPr>
      <w:rFonts w:ascii="Arial" w:eastAsia="Times New Roman" w:hAnsi="Arial" w:cs="Times New Roman"/>
      <w:i/>
      <w:szCs w:val="20"/>
    </w:rPr>
  </w:style>
  <w:style w:type="character" w:customStyle="1" w:styleId="Heading7Char">
    <w:name w:val="Heading 7 Char"/>
    <w:basedOn w:val="DefaultParagraphFont"/>
    <w:link w:val="Heading7"/>
    <w:rsid w:val="00AE6DFD"/>
    <w:rPr>
      <w:rFonts w:ascii="Arial" w:eastAsia="Times New Roman" w:hAnsi="Arial" w:cs="Times New Roman"/>
      <w:sz w:val="20"/>
      <w:szCs w:val="20"/>
    </w:rPr>
  </w:style>
  <w:style w:type="character" w:customStyle="1" w:styleId="Heading8Char">
    <w:name w:val="Heading 8 Char"/>
    <w:basedOn w:val="DefaultParagraphFont"/>
    <w:link w:val="Heading8"/>
    <w:rsid w:val="00AE6DFD"/>
    <w:rPr>
      <w:rFonts w:ascii="Arial" w:eastAsia="Times New Roman" w:hAnsi="Arial" w:cs="Times New Roman"/>
      <w:i/>
      <w:sz w:val="20"/>
      <w:szCs w:val="20"/>
    </w:rPr>
  </w:style>
  <w:style w:type="character" w:customStyle="1" w:styleId="Heading9Char">
    <w:name w:val="Heading 9 Char"/>
    <w:basedOn w:val="DefaultParagraphFont"/>
    <w:link w:val="Heading9"/>
    <w:rsid w:val="00AE6DFD"/>
    <w:rPr>
      <w:rFonts w:ascii="Arial" w:eastAsia="Times New Roman" w:hAnsi="Arial" w:cs="Times New Roman"/>
      <w:b/>
      <w:i/>
      <w:sz w:val="18"/>
      <w:szCs w:val="20"/>
    </w:rPr>
  </w:style>
  <w:style w:type="paragraph" w:styleId="Header">
    <w:name w:val="header"/>
    <w:basedOn w:val="Normal"/>
    <w:link w:val="HeaderChar"/>
    <w:semiHidden/>
    <w:rsid w:val="00AE6DFD"/>
    <w:pPr>
      <w:tabs>
        <w:tab w:val="center" w:pos="4153"/>
        <w:tab w:val="right" w:pos="8306"/>
      </w:tabs>
    </w:pPr>
  </w:style>
  <w:style w:type="character" w:customStyle="1" w:styleId="HeaderChar">
    <w:name w:val="Header Char"/>
    <w:basedOn w:val="DefaultParagraphFont"/>
    <w:link w:val="Header"/>
    <w:semiHidden/>
    <w:rsid w:val="00AE6DFD"/>
    <w:rPr>
      <w:rFonts w:ascii="Arial" w:eastAsia="Times New Roman" w:hAnsi="Arial" w:cs="Times New Roman"/>
      <w:sz w:val="24"/>
      <w:szCs w:val="20"/>
    </w:rPr>
  </w:style>
  <w:style w:type="paragraph" w:styleId="Footer">
    <w:name w:val="footer"/>
    <w:basedOn w:val="Normal"/>
    <w:link w:val="FooterChar"/>
    <w:semiHidden/>
    <w:rsid w:val="00AE6DFD"/>
    <w:pPr>
      <w:tabs>
        <w:tab w:val="center" w:pos="4153"/>
        <w:tab w:val="right" w:pos="8306"/>
      </w:tabs>
    </w:pPr>
  </w:style>
  <w:style w:type="character" w:customStyle="1" w:styleId="FooterChar">
    <w:name w:val="Footer Char"/>
    <w:basedOn w:val="DefaultParagraphFont"/>
    <w:link w:val="Footer"/>
    <w:semiHidden/>
    <w:rsid w:val="00AE6DFD"/>
    <w:rPr>
      <w:rFonts w:ascii="Arial" w:eastAsia="Times New Roman" w:hAnsi="Arial" w:cs="Times New Roman"/>
      <w:sz w:val="24"/>
      <w:szCs w:val="20"/>
    </w:rPr>
  </w:style>
  <w:style w:type="paragraph" w:styleId="BodyText">
    <w:name w:val="Body Text"/>
    <w:basedOn w:val="Normal"/>
    <w:link w:val="BodyTextChar"/>
    <w:semiHidden/>
    <w:rsid w:val="00AE6DFD"/>
    <w:rPr>
      <w:rFonts w:ascii="Times New Roman" w:hAnsi="Times New Roman"/>
      <w:color w:val="000000"/>
    </w:rPr>
  </w:style>
  <w:style w:type="character" w:customStyle="1" w:styleId="BodyTextChar">
    <w:name w:val="Body Text Char"/>
    <w:basedOn w:val="DefaultParagraphFont"/>
    <w:link w:val="BodyText"/>
    <w:semiHidden/>
    <w:rsid w:val="00AE6DFD"/>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E6DFD"/>
    <w:rPr>
      <w:rFonts w:ascii="Tahoma" w:hAnsi="Tahoma" w:cs="Tahoma"/>
      <w:sz w:val="16"/>
      <w:szCs w:val="16"/>
    </w:rPr>
  </w:style>
  <w:style w:type="character" w:customStyle="1" w:styleId="BalloonTextChar">
    <w:name w:val="Balloon Text Char"/>
    <w:basedOn w:val="DefaultParagraphFont"/>
    <w:link w:val="BalloonText"/>
    <w:uiPriority w:val="99"/>
    <w:semiHidden/>
    <w:rsid w:val="00AE6DFD"/>
    <w:rPr>
      <w:rFonts w:ascii="Tahoma" w:eastAsia="Times New Roman" w:hAnsi="Tahoma" w:cs="Tahoma"/>
      <w:sz w:val="16"/>
      <w:szCs w:val="16"/>
    </w:rPr>
  </w:style>
  <w:style w:type="paragraph" w:styleId="ListParagraph">
    <w:name w:val="List Paragraph"/>
    <w:uiPriority w:val="34"/>
    <w:qFormat/>
    <w:rsid w:val="00CB09A5"/>
    <w:pPr>
      <w:spacing w:after="0" w:line="240" w:lineRule="auto"/>
      <w:ind w:left="720"/>
    </w:pPr>
    <w:rPr>
      <w:rFonts w:ascii="Calibri" w:eastAsia="ヒラギノ角ゴ Pro W3" w:hAnsi="Calibri" w:cs="Times New Roman"/>
      <w:color w:val="000000"/>
      <w:szCs w:val="20"/>
      <w:lang w:val="en-US" w:eastAsia="en-GB"/>
    </w:rPr>
  </w:style>
  <w:style w:type="paragraph" w:customStyle="1" w:styleId="Body">
    <w:name w:val="Body"/>
    <w:rsid w:val="00CB09A5"/>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BA7DA0"/>
    <w:rPr>
      <w:color w:val="0000FF" w:themeColor="hyperlink"/>
      <w:u w:val="single"/>
    </w:rPr>
  </w:style>
  <w:style w:type="table" w:styleId="TableGrid">
    <w:name w:val="Table Grid"/>
    <w:basedOn w:val="TableNormal"/>
    <w:uiPriority w:val="59"/>
    <w:rsid w:val="002E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890"/>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btdbe.blob.core.windows.net/umbraco-assets-corp/14669/160915-27614-unexpected-transfusion-blc6991p-final.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hsbtdbe.blob.core.windows.net/umbraco-assets-corp/23998/inf1580-1-receiving-a-blood-transfusion-print-friendly.pdf" TargetMode="External"/><Relationship Id="rId12" Type="http://schemas.openxmlformats.org/officeDocument/2006/relationships/hyperlink" Target="mailto:GMBBLOODBANK@uhcw.nhs.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NSFUSIONTEAM@NUH.NHS.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bula.wsimg.com/141b38a7c1732214e34c0228394b3385?AccessKeyId=71C7B1EA5618F4C499E1&amp;disposition=0&amp;alloworigin=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Toft</dc:creator>
  <cp:lastModifiedBy>Jayne Machin</cp:lastModifiedBy>
  <cp:revision>4</cp:revision>
  <cp:lastPrinted>2022-01-31T10:49:00Z</cp:lastPrinted>
  <dcterms:created xsi:type="dcterms:W3CDTF">2022-01-28T09:49:00Z</dcterms:created>
  <dcterms:modified xsi:type="dcterms:W3CDTF">2022-01-31T10:49:00Z</dcterms:modified>
</cp:coreProperties>
</file>